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§1754. GUARANTEE BY MUNICIPALITIES OF DISTRICT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