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w:t>
        <w:t xml:space="preserve">.  </w:t>
      </w:r>
      <w:r>
        <w:rPr>
          <w:b/>
        </w:rPr>
        <w:t xml:space="preserve">Reports</w:t>
      </w:r>
    </w:p>
    <w:p>
      <w:pPr>
        <w:jc w:val="both"/>
        <w:spacing w:before="100" w:after="100"/>
        <w:ind w:start="360"/>
        <w:ind w:firstLine="360"/>
      </w:pPr>
      <w:r>
        <w:rPr/>
      </w:r>
      <w:r>
        <w:rPr/>
      </w:r>
      <w:r>
        <w:t xml:space="preserve">The department shall submit the plan and subsequent revisions to the Governor and the joint standing committee of the Legislature having jurisdiction over natural resource matters.</w:t>
      </w:r>
      <w:r>
        <w:t xml:space="preserve">  </w:t>
      </w:r>
      <w:r xmlns:wp="http://schemas.openxmlformats.org/drawingml/2010/wordprocessingDrawing" xmlns:w15="http://schemas.microsoft.com/office/word/2012/wordml">
        <w:rPr>
          <w:rFonts w:ascii="Arial" w:hAnsi="Arial" w:cs="Arial"/>
          <w:sz w:val="22"/>
          <w:szCs w:val="22"/>
        </w:rPr>
        <w:t xml:space="preserve">[PL 2011, c. 655, Pt. GG, §30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§A37 (AMD). PL 1995, c. 465, §C2 (AFF). PL 2011, c. 655, Pt. GG, §30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