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 STATE GOVERNMENT RECYCLING AND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