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Municipal contracts</w:t>
      </w:r>
    </w:p>
    <w:p>
      <w:pPr>
        <w:jc w:val="both"/>
        <w:spacing w:before="100" w:after="100"/>
        <w:ind w:start="360"/>
        <w:ind w:firstLine="360"/>
      </w:pPr>
      <w:r>
        <w:rPr/>
      </w:r>
      <w:r>
        <w:rPr/>
      </w:r>
      <w:r>
        <w:t xml:space="preserve">A municipality may contract with any person to carry out its duties for the recycling, transportation, collection and storage of municipal waste and source-separated materials to be recycled, if the recycling, transportation, collection or storage activity or facility is conducted or operated in a manner that is consistent with the provisions of this chapter, the state plan and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Existing contracts.</w:t>
        <w:t xml:space="preserve"> </w:t>
      </w:r>
      <w:r>
        <w:t xml:space="preserve"> </w:t>
      </w:r>
      <w:r>
        <w:t xml:space="preserve">Except as otherwise provided in this chapter, nothing in this chapter may be construed to interfere with, or in any way modify, the provisions of any contract for municipal waste disposal, processing or collection with any regional association or municipality in force upon the effective date of this chapter or prior to the adoption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Renewals.</w:t>
        <w:t xml:space="preserve"> </w:t>
      </w:r>
      <w:r>
        <w:t xml:space="preserve"> </w:t>
      </w:r>
      <w:r>
        <w:t xml:space="preserve">No renewal of any existing contract upon the expiration or termination of the original term of the contract, and no new contract for municipal waste disposal, processing or collection may be entered into after the effective date of this chapter, if the renewal or new contract fails to conform to the applicable provisions of this chapter or interferes with the implementation of the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Recycling activities; limited liability.</w:t>
        <w:t xml:space="preserve"> </w:t>
      </w:r>
      <w:r>
        <w:t xml:space="preserve"> </w:t>
      </w:r>
      <w:r>
        <w:t xml:space="preserve">When the owner, lessee or occupant of premises as defined in </w:t>
      </w:r>
      <w:r>
        <w:t>Title 14, section 159‑B</w:t>
      </w:r>
      <w:r>
        <w:t xml:space="preserve"> undertakes recycling activities, as defined in </w:t>
      </w:r>
      <w:r>
        <w:t>Title 14, section 159‑B</w:t>
      </w:r>
      <w:r>
        <w:t xml:space="preserve"> on the premises, liability is limited as provided in </w:t>
      </w:r>
      <w:r>
        <w:t>Title 14, section 159‑B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487,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§2184. Municipal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Municipal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§2184. MUNICIPAL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