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Host municipality fees</w:t>
      </w:r>
    </w:p>
    <w:p>
      <w:pPr>
        <w:jc w:val="both"/>
        <w:spacing w:before="100" w:after="100"/>
        <w:ind w:start="360"/>
        <w:ind w:firstLine="360"/>
      </w:pPr>
      <w:r>
        <w:rPr/>
      </w:r>
      <w:r>
        <w:rPr/>
      </w:r>
      <w:r>
        <w:t xml:space="preserve">The bureau may set fees under this article for the host municipality at a level lower than the fees charged to other municipalities or users, as long as the lower fees are set in a manner consistent with the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§A61 (AMD). PL 2011, c. 655, Pt. GG, §63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§2193. Host municipality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Host municipality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§2193. HOST MUNICIPALITY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