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General powers</w:t>
      </w:r>
    </w:p>
    <w:p>
      <w:pPr>
        <w:jc w:val="both"/>
        <w:spacing w:before="100" w:after="100"/>
        <w:ind w:start="360"/>
        <w:ind w:firstLine="360"/>
      </w:pPr>
      <w:r>
        <w:rPr/>
      </w:r>
      <w:r>
        <w:rPr/>
      </w:r>
      <w:r>
        <w:t xml:space="preserve">The agency may, in addition to its other powers and in furtherance of the purposes of this chapter, assist itself or applicants, who shall be limited to municipalities and regional associations, in the financing of eligible projects by issuing revenue obligation securities; by issuing or providing securities for mortgage loans; drafting financial documents, trust agreements and other contracts; and arranging the financing and negotiating for the sale of the securities.  The agency may contract with the Finance Authority of Maine to administer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r>
      <w:r>
        <w:rPr/>
      </w:r>
      <w:r>
        <w:t xml:space="preserve">The agency may also:</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waste facilities, waste disposal services or recycling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eligible projects which may be separate, unconnected and distinct.  Any issue, the proceeds of any issue, or any revenue obligation securities shall, except as specifically authorized by the Legislature, meet the requirements of the Internal Revenue Code of 1986, as amended, relating to exempt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eligible projects which may be separate, unconnected and distinct;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 of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an applicant to acquire, upon reasonable terms from funds provided under this article, the lands, structures, property, rights, rights-of-way, franchises, easements and other interests in lands, including lands under water and riparian rights, that are located within the State and considered necessary or convenient for the construction or operation of any eligible waste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§15 (AMD).]</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article, provided all expenses are payable solely from funds made available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agency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regional associations, municipalities, the State or a federal agency relating to any eligible solid waste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solid waste project from a municipality, an authorized agency of the State or a federal agency and enter into agreements with the agency respecting the loans or grants.  In the case of all loans, grants or other aid involving pollution-control facilities, the consent of the commissioner must first be obtained, notwithstanding </w:t>
      </w:r>
      <w:r>
        <w:t>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§294 (AMD).]</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that are not subject to </w:t>
      </w:r>
      <w:r>
        <w:t>Title 14, section 6010</w:t>
      </w:r>
      <w:r>
        <w:t xml:space="preserve">.  Leases made under this section may provide that obligations of the lessees are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Application.</w:t>
        <w:t xml:space="preserve"> </w:t>
      </w:r>
      <w:r>
        <w:t xml:space="preserve"> </w:t>
      </w:r>
      <w:r>
        <w:t xml:space="preserve">Provide financial assistance by means of revenue obligation securities which are not subject to </w:t>
      </w:r>
      <w:r>
        <w:t>Title 32, chapter 135</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§A15 (AMD). PL 1989, c. 890, §§A40,B294 (AMD). PL 2005, c. 65,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