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agency shall determine that there shall at all times be revenues and funds sufficient to:</w:t>
      </w:r>
    </w:p>
    <w:p>
      <w:pPr>
        <w:jc w:val="both"/>
        <w:spacing w:before="100" w:after="0"/>
        <w:ind w:start="720"/>
      </w:pPr>
      <w:r>
        <w:rPr/>
        <w:t>A</w:t>
        <w:t xml:space="preserve">.  </w:t>
      </w:r>
      <w:r>
        <w:rPr/>
      </w:r>
      <w:r>
        <w:t xml:space="preserve">Pay the principal and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Use of money deposited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 received under this subchapter shall be deemed trust funds, to be held and applied solely as provided in this subchapter.  Any officer to whom, or any bank, trust company or other fiscal agency or trustee to which, the money shall be paid shall act as trustees of the money and shall hold and apply it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§2215.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§2215.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