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Bonds as legal investments</w:t>
      </w:r>
    </w:p>
    <w:p>
      <w:pPr>
        <w:jc w:val="both"/>
        <w:spacing w:before="100" w:after="100"/>
        <w:ind w:start="360"/>
        <w:ind w:firstLine="360"/>
      </w:pPr>
      <w:r>
        <w:rPr/>
      </w:r>
      <w:r>
        <w:rPr/>
      </w:r>
      <w:r>
        <w:t xml:space="preserve">The revenue obligation securities of the agency and any loan or extension of credit issued under this article shall be legal investments in which all public officers and public bodies of the State, its political subdivisions, all regional associations and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§2220.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§2220.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