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w:t>
        <w:t xml:space="preserve">.  </w:t>
      </w:r>
      <w:r>
        <w:rPr>
          <w:b/>
        </w:rPr>
        <w:t xml:space="preserve">Operation under influence of drugs or liquor</w:t>
      </w:r>
    </w:p>
    <w:p>
      <w:pPr>
        <w:jc w:val="both"/>
        <w:spacing w:before="100" w:after="100"/>
        <w:ind w:start="360"/>
        <w:ind w:firstLine="360"/>
      </w:pPr>
      <w:r>
        <w:rPr/>
      </w:r>
      <w:r>
        <w:rPr/>
      </w:r>
      <w:r>
        <w:t xml:space="preserve">Whoever operates any watercraft, vessel, water skis, surfboard, similar device or motorboat, however propelled, upon the tidewaters of any municipality or upon any of the offshore waters within the jurisdiction of this State while intoxicated or under the influence of any narcotic drug, barbiturate or cannabis,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§339 (RPR);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§339 (RPR).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 Operation under influence of drugs or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 Operation under influence of drugs or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§284. OPERATION UNDER INFLUENCE OF DRUGS OR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