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Recording</w:t>
      </w:r>
    </w:p>
    <w:p>
      <w:pPr>
        <w:jc w:val="both"/>
        <w:spacing w:before="100" w:after="0"/>
        <w:ind w:start="360"/>
        <w:ind w:firstLine="360"/>
      </w:pPr>
      <w:r>
        <w:rPr>
          <w:b/>
        </w:rPr>
        <w:t>1</w:t>
        <w:t xml:space="preserve">.  </w:t>
      </w:r>
      <w:r>
        <w:rPr>
          <w:b/>
        </w:rPr>
        <w:t xml:space="preserve">Recording required.</w:t>
        <w:t xml:space="preserve"> </w:t>
      </w:r>
      <w:r>
        <w:t xml:space="preserve"> </w:t>
      </w:r>
      <w:r>
        <w:t xml:space="preserve">An environmental covenant and any amendment or termination of the covenant must be recorded in every county in which any portion of the real property subject to the covenant is located.  For purposes of indexing, a holder must be treated as a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Subject to laws governing recording priority.</w:t>
        <w:t xml:space="preserve"> </w:t>
      </w:r>
      <w:r>
        <w:t xml:space="preserve"> </w:t>
      </w:r>
      <w:r>
        <w:t xml:space="preserve">Except as otherwise provided in </w:t>
      </w:r>
      <w:r>
        <w:t>section 3009, subsection 3</w:t>
      </w:r>
      <w:r>
        <w:t xml:space="preserve">, an environmental covenant is subject to the laws of this State governing recording and priority of interests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§3008.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