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3009</w:t>
        <w:t xml:space="preserve">.  </w:t>
      </w:r>
      <w:r>
        <w:rPr>
          <w:b/>
        </w:rPr>
        <w:t xml:space="preserve">Duration; amendment by court action</w:t>
      </w:r>
    </w:p>
    <w:p>
      <w:pPr>
        <w:jc w:val="both"/>
        <w:spacing w:before="100" w:after="100"/>
        <w:ind w:start="360"/>
        <w:ind w:firstLine="360"/>
      </w:pPr>
      <w:r>
        <w:rPr>
          <w:b/>
        </w:rPr>
        <w:t>1</w:t>
        <w:t xml:space="preserve">.  </w:t>
      </w:r>
      <w:r>
        <w:rPr>
          <w:b/>
        </w:rPr>
        <w:t xml:space="preserve">Perpetual duration.</w:t>
        <w:t xml:space="preserve"> </w:t>
      </w:r>
      <w:r>
        <w:t xml:space="preserve"> </w:t>
      </w:r>
      <w:r>
        <w:t xml:space="preserve">An environmental covenant is perpetual unless it is:</w:t>
      </w:r>
    </w:p>
    <w:p>
      <w:pPr>
        <w:jc w:val="both"/>
        <w:spacing w:before="100" w:after="0"/>
        <w:ind w:start="720"/>
      </w:pPr>
      <w:r>
        <w:rPr/>
        <w:t>A</w:t>
        <w:t xml:space="preserve">.  </w:t>
      </w:r>
      <w:r>
        <w:rPr/>
      </w:r>
      <w:r>
        <w:t xml:space="preserve">By its terms limited to a specific duration or terminated by the occurrence of a specific event;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Terminated by consent pursuant to </w:t>
      </w:r>
      <w:r>
        <w:t>section 3010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Terminated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Terminated by operation of other laws of this State governing priority of interests; or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Terminated or modified in an eminent domain proceeding, but only if:</w:t>
      </w:r>
    </w:p>
    <w:p>
      <w:pPr>
        <w:jc w:val="both"/>
        <w:spacing w:before="100" w:after="0"/>
        <w:ind w:start="1080"/>
      </w:pPr>
      <w:r>
        <w:rPr/>
        <w:t>(</w:t>
        <w:t>1</w:t>
        <w:t xml:space="preserve">)  </w:t>
      </w:r>
      <w:r>
        <w:rPr/>
      </w:r>
      <w:r>
        <w:t xml:space="preserve">The agency that signed the covenant is a party to the proceeding;</w:t>
      </w:r>
    </w:p>
    <w:p>
      <w:pPr>
        <w:jc w:val="both"/>
        <w:spacing w:before="100" w:after="0"/>
        <w:ind w:start="1080"/>
      </w:pPr>
      <w:r>
        <w:rPr/>
        <w:t>(</w:t>
        <w:t>2</w:t>
        <w:t xml:space="preserve">)  </w:t>
      </w:r>
      <w:r>
        <w:rPr/>
      </w:r>
      <w:r>
        <w:t xml:space="preserve">All persons identified in </w:t>
      </w:r>
      <w:r>
        <w:t>section 3010, subsections 1</w:t>
      </w:r>
      <w:r>
        <w:t xml:space="preserve"> and </w:t>
      </w:r>
      <w:r>
        <w:t>2</w:t>
      </w:r>
      <w:r>
        <w:t xml:space="preserve"> are given notice of the pendency of the proceeding; and</w:t>
      </w:r>
    </w:p>
    <w:p>
      <w:pPr>
        <w:jc w:val="both"/>
        <w:spacing w:before="100" w:after="0"/>
        <w:ind w:start="1080"/>
      </w:pPr>
      <w:r>
        <w:rPr/>
        <w:t>(</w:t>
        <w:t>3</w:t>
        <w:t xml:space="preserve">)  </w:t>
      </w:r>
      <w:r>
        <w:rPr/>
      </w:r>
      <w:r>
        <w:t xml:space="preserve">The court determines, after hearing, that the termination or modification will not adversely affect human health or the environment.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Intended benefits can no longer be realized.</w:t>
        <w:t xml:space="preserve"> </w:t>
      </w:r>
      <w:r>
        <w:t xml:space="preserve"> </w:t>
      </w:r>
      <w:r>
        <w:t xml:space="preserve">If the agency that signed an environmental covenant has determined that the intended benefits of the covenant can no longer be realized, a court, under the doctrine of changed circumstances, in an action in which all persons identified in </w:t>
      </w:r>
      <w:r>
        <w:t>section 3010, subsections 1</w:t>
      </w:r>
      <w:r>
        <w:t xml:space="preserve"> and </w:t>
      </w:r>
      <w:r>
        <w:t>2</w:t>
      </w:r>
      <w:r>
        <w:t xml:space="preserve"> have been given notice, may terminate the covenant or reduce its burden on the real property subject to the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Extinguished, limited or impaired.</w:t>
        <w:t xml:space="preserve"> </w:t>
      </w:r>
      <w:r>
        <w:t xml:space="preserve"> </w:t>
      </w:r>
      <w:r>
        <w:t xml:space="preserve">Except as otherwise provided in </w:t>
      </w:r>
      <w:r>
        <w:t>subsections 1</w:t>
      </w:r>
      <w:r>
        <w:t xml:space="preserve"> and </w:t>
      </w:r>
      <w:r>
        <w:t>2</w:t>
      </w:r>
      <w:r>
        <w:t xml:space="preserve">, an environmental covenant may not be extinguished, limited or impaired through issuance of a tax deed or foreclosure of a tax lien or application of the doctrine of adverse possession, prescription, abandonment, waiver, lack of enforcement or acquiescence or a similar doctrine.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4</w:t>
        <w:t xml:space="preserve">.  </w:t>
      </w:r>
      <w:r>
        <w:rPr>
          <w:b/>
        </w:rPr>
        <w:t xml:space="preserve">Laws governing marketable title and dormant mineral interests.</w:t>
        <w:t xml:space="preserve"> </w:t>
      </w:r>
      <w:r>
        <w:t xml:space="preserve"> </w:t>
      </w:r>
      <w:r>
        <w:t xml:space="preserve">An environmental covenant may not be extinguished, limited or impaired by application of laws governing marketable title and dormant mineral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§3009. Duration; amendment by court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§3009. Duration; amendment by court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§3009. DURATION; AMENDMENT BY COURT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