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Purpose</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The Legislature finds that beverage containers are a major source of nondegradable litter and solid waste in this State and that the collection and disposal of this litter and solid waste constitute a great financial burden for the citizens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to create incentives for the manufacturers, distributors, dealers and consumers of beverage containers to reuse or recycle beverage containers thereby removing the blight on the landscape caused by the disposal of these containers on the highways and lands of the State and reducing the increasing costs of litter collection and municipal solid waste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