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Federal programs</w:t>
      </w:r>
    </w:p>
    <w:p>
      <w:pPr>
        <w:jc w:val="both"/>
        <w:spacing w:before="100" w:after="100"/>
        <w:ind w:start="360"/>
        <w:ind w:firstLine="360"/>
      </w:pPr>
      <w:r>
        <w:rPr/>
      </w:r>
      <w:r>
        <w:rPr/>
      </w:r>
      <w:r>
        <w:t xml:space="preserve">Notwithstanding </w:t>
      </w:r>
      <w:r>
        <w:t>section 352</w:t>
      </w:r>
      <w:r>
        <w:t xml:space="preserve">, if the department is required by federal law to issue any certificate, permit or license, the commissioner shall establish a fee schedule identical to the federal program that is most like the state program.  If there are no similar state programs, the commissioner shall adopt the appropriate fee schedule based upon identified costs including liaison costs.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574, §1 (NEW). PL 1989, c. 890, §§A40,B14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§354. Federal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Federal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§354. FEDERAL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