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Authority to accept federal funds</w:t>
      </w:r>
    </w:p>
    <w:p>
      <w:pPr>
        <w:jc w:val="both"/>
        <w:spacing w:before="100" w:after="100"/>
        <w:ind w:start="360"/>
        <w:ind w:firstLine="360"/>
      </w:pPr>
      <w:r>
        <w:rPr/>
      </w:r>
      <w:r>
        <w:rPr/>
      </w:r>
      <w:r>
        <w:t xml:space="preserve">The department is designated the public agency of the State for the purpose of accepting federal funds in relation to water pollution control, water resources and air pollution studies and control. The commissioner  may, subject to the approval of the Governor, accept federal funds available for water pollution control, water resources and air pollution studies and control and meet such requirements with respect to the administration of the funds, not inconsistent with this subchapter, as are required as conditions precedent to receiving federal funds. The Treasurer of State shall be the appropriate fiscal officer of the State to receive federal grants on account of water pollution control, water resources and air pollution studies and control, and the State Controller shall authorize expenditures therefrom as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§3 (AMD). PL 1971, c. 618, §12 (AMD). PL 1975, c. 771, §420 (AMD). PL 1983, c. 483,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Authority to accept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Authority to accept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§362. AUTHORITY TO ACCEPT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