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Exceptions</w:t>
      </w:r>
    </w:p>
    <w:p>
      <w:pPr>
        <w:jc w:val="both"/>
        <w:spacing w:before="100" w:after="100"/>
        <w:ind w:start="360"/>
        <w:ind w:firstLine="360"/>
      </w:pPr>
      <w:r>
        <w:rPr/>
      </w:r>
      <w:r>
        <w:rPr/>
      </w:r>
      <w:r>
        <w:t xml:space="preserve">Nothing contained in this subchapter shall limit the powers of the State to initiate, prosecute and maintain actions to abate public nuisances to the extent consistent with the public interest, nor shall any license granted under this subchapter constitute a defense to any action at law for damages.</w:t>
      </w:r>
      <w:r>
        <w:t xml:space="preserve">  </w:t>
      </w:r>
      <w:r xmlns:wp="http://schemas.openxmlformats.org/drawingml/2010/wordprocessingDrawing" xmlns:w15="http://schemas.microsoft.com/office/word/2012/wordml">
        <w:rPr>
          <w:rFonts w:ascii="Arial" w:hAnsi="Arial" w:cs="Arial"/>
          <w:sz w:val="22"/>
          <w:szCs w:val="22"/>
        </w:rPr>
        <w:t xml:space="preserve">[PL 1971, c. 527,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