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440-A</w:t>
        <w:t xml:space="preserve">.  </w:t>
      </w:r>
      <w:r>
        <w:rPr>
          <w:b/>
        </w:rPr>
        <w:t xml:space="preserve">Public access</w:t>
      </w:r>
    </w:p>
    <w:p>
      <w:pPr>
        <w:jc w:val="both"/>
        <w:spacing w:before="100" w:after="100"/>
        <w:ind w:start="360"/>
        <w:ind w:firstLine="360"/>
      </w:pPr>
      <w:r>
        <w:rPr/>
      </w:r>
      <w:r>
        <w:rPr/>
      </w:r>
      <w:r>
        <w:t xml:space="preserve">In addition to controls required in this chapter, municipalities may extend or adopt zoning and subdivision controls to protect any public rights for physical and visual access to the shoreline.</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§440-A. Public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§440-A. Public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§440-A. PUBLIC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