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1, c. 470, §A165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