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§480-HH. GENERAL PERMIT FOR OFFSHORE WIND ENERGY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