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480-J</w:t>
        <w:t xml:space="preserve">.  </w:t>
      </w:r>
      <w:r>
        <w:rPr>
          <w:b/>
        </w:rPr>
        <w:t xml:space="preserve">Maps</w:t>
      </w:r>
    </w:p>
    <w:p>
      <w:pPr>
        <w:jc w:val="both"/>
        <w:spacing w:before="100" w:after="100"/>
        <w:ind w:start="360"/>
        <w:ind w:firstLine="360"/>
      </w:pPr>
      <w:r>
        <w:rPr/>
      </w:r>
      <w:r>
        <w:rPr/>
      </w:r>
      <w:r>
        <w:t xml:space="preserve">Maps delineating the boundaries of freshwater wetlands, significant wildlife habitat and fragile mountain areas that meet the criteria of this article shall be available at the offices of the municipality and of the regional council in which the resources are located.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§480-J.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§480-J. Maps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§480-J.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