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490-Z</w:t>
        <w:t xml:space="preserve">.  </w:t>
      </w:r>
      <w:r>
        <w:rPr>
          <w:b/>
        </w:rPr>
        <w:t xml:space="preserve">Performance standards for quarries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§6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To ensure adequate groundwater protection, the following setback requirements must be met.</w:t>
      </w:r>
    </w:p>
    <w:p>
      <w:pPr>
        <w:jc w:val="both"/>
        <w:spacing w:before="100" w:after="0"/>
        <w:ind w:start="720"/>
      </w:pPr>
      <w:r>
        <w:rPr/>
        <w:t>A</w:t>
        <w:t xml:space="preserve">.  </w:t>
      </w:r>
      <w:r>
        <w:rPr/>
      </w:r>
      <w:r>
        <w:t xml:space="preserve">A 200-foot separation must be maintained between an excavation and a private drinking water supply that is point driven or dug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100-foot separation must be maintained between an excavation and a private drinking water supply that is drilled into saturated bedrock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Separation must be maintained between an excavation and a public drinking water source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42 United States Code, Sections 300f to 300j-26 (1988), the separation must be 1,000 feet.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Refueling operations, oil changes, other maintenance activities requiring the handling of fuels, petroleum products and hydraulic fluids and other on-site activity involving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In the event of excavation below the seasonal high water table, a 300-foot separation must be maintained between the limit of excavation and any predevelopment private drinking water supply and a 1000-foot separation must be maintained between the limit of excavation and any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grant a variance from the provisions of </w:t>
      </w:r>
      <w:r>
        <w:t>paragraph C</w:t>
      </w:r>
      <w:r>
        <w:t xml:space="preserve"> upon consultation with the person or entity that controls the public drinking water supply affected by the excavation.  The department may not grant a waiver from the provisions of </w:t>
      </w:r>
      <w:r>
        <w:t>paragraph A</w:t>
      </w:r>
      <w:r>
        <w:t xml:space="preserve">, </w:t>
      </w:r>
      <w:r>
        <w:t>B</w:t>
      </w:r>
      <w:r>
        <w:t xml:space="preserve"> or </w:t>
      </w:r>
      <w:r>
        <w:t>D</w:t>
      </w:r>
      <w:r>
        <w:t xml:space="preserve">.</w:t>
      </w:r>
    </w:p>
    <w:p>
      <w:pPr>
        <w:jc w:val="both"/>
        <w:spacing w:before="100" w:after="0"/>
        <w:ind w:start="360"/>
      </w:pPr>
      <w:r>
        <w:rPr/>
      </w:r>
      <w:r>
        <w:rPr/>
      </w:r>
      <w:r>
        <w:t xml:space="preserve">Excavation below the seasonal high water table is prohibited.  The department may grant a variance allowing excavation below the seasonal high water table if the applicant demonstrates that the yield of groundwater flow to protected waters or wetlands or public drinking water sources or private drinking water supplies will not be adversely affected by the excavation.</w:t>
      </w:r>
    </w:p>
    <w:p>
      <w:pPr>
        <w:jc w:val="both"/>
        <w:spacing w:before="100" w:after="0"/>
        <w:ind w:start="360"/>
      </w:pPr>
      <w:r>
        <w:rPr/>
      </w:r>
      <w:r>
        <w:rPr/>
      </w:r>
      <w:r>
        <w:t xml:space="preserve">In the event of excavation below the seasonal high water table, the operator of a mining activity that affects by excavation activities a public drinking water source or private drinking water supply by contamination, interruption or diminution must restore or replace the affected water supply with an alternate source of water, adequate in quantity and quality for the purpose served by the supply.  This provision is not intended to replace any independent action that a person may have whose water supply is affected by a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§11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operation of a quarry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5</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have the characteristics listed in </w:t>
      </w:r>
      <w:r>
        <w:t>paragraph B</w:t>
      </w:r>
      <w:r>
        <w:t xml:space="preserve">.  Excavation activities conducted within 100 feet of a protected natural resource must comply with the applicable permit requirements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§7 (AMD).]</w:t>
      </w:r>
    </w:p>
    <w:p>
      <w:pPr>
        <w:jc w:val="both"/>
        <w:spacing w:before="100" w:after="0"/>
        <w:ind w:start="720"/>
      </w:pPr>
      <w:r>
        <w:rPr/>
        <w:t>B</w:t>
        <w:t xml:space="preserve">.  </w:t>
      </w:r>
      <w:r>
        <w:rPr/>
      </w:r>
      <w:r>
        <w:t xml:space="preserve">A natural buffer strip at least 75 feet wide must be maintained between the working edge of the excavation and a body of water other than as described in </w:t>
      </w:r>
      <w:r>
        <w:t>paragraph A</w:t>
      </w:r>
      <w:r>
        <w:t xml:space="preserve">, a river, stream or brook, coastal wetland or significant wildlife habitat contained within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For purposes of this subsection, the width of a natural buffer strip is measured from the upland edge of a floodplain wetland.  If no floodplain wetlands are present, the width is measured from the normal high-water mark of the river, stream or brook.  The width is measured from the normal high-water mark of a great pond and upland edge of a freshwater or coastal wetland.</w:t>
      </w:r>
    </w:p>
    <w:p>
      <w:pPr>
        <w:jc w:val="both"/>
        <w:spacing w:before="100" w:after="0"/>
        <w:ind w:start="360"/>
      </w:pPr>
      <w:r>
        <w:rPr/>
      </w:r>
      <w:r>
        <w:rPr/>
      </w:r>
      <w:r>
        <w:t xml:space="preserve">The department may allow excavation to occur under this subsection as long as a permit is obtained pursuant to </w:t>
      </w:r>
      <w:r>
        <w:t>article 5‑A</w:t>
      </w:r>
      <w:r>
        <w:t xml:space="preserve">.  A quarry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§7 (AMD).]</w:t>
      </w:r>
    </w:p>
    <w:p>
      <w:pPr>
        <w:jc w:val="both"/>
        <w:spacing w:before="100" w:after="100"/>
        <w:ind w:start="360"/>
        <w:ind w:firstLine="360"/>
      </w:pPr>
      <w:r>
        <w:rPr>
          <w:b/>
        </w:rPr>
        <w:t>6</w:t>
        <w:t xml:space="preserve">.  </w:t>
      </w:r>
      <w:r>
        <w:rPr>
          <w:b/>
        </w:rPr>
        <w:t xml:space="preserve">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natural buffer strip at least 100 feet wide must be maintained between the working edge of the excavation and any other public road.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§12 (AMD).]</w:t>
      </w:r>
    </w:p>
    <w:p>
      <w:pPr>
        <w:jc w:val="both"/>
        <w:spacing w:before="100" w:after="0"/>
        <w:ind w:start="720"/>
      </w:pPr>
      <w:r>
        <w:rPr/>
        <w:t>C</w:t>
        <w:t xml:space="preserve">.  </w:t>
      </w:r>
      <w:r>
        <w:rPr/>
      </w:r>
      <w:r>
        <w:t xml:space="preserve">A natural buffer strip at least 50 feet wide must be maintained between the working edge of an excavation and a private road or a right-of-way.  If a private road is contained within a wider right-of-way, the buffer is measured from the edge of the right-of-way.  The width of the natural buffer strip adjacent to a private road may be reduced if the applicant receives written permission from the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not grant a variance from the provisions of </w:t>
      </w:r>
      <w:r>
        <w:t>paragraph A</w:t>
      </w:r>
      <w:r>
        <w:t xml:space="preserve"> or </w:t>
      </w:r>
      <w:r>
        <w:t>C</w:t>
      </w:r>
      <w:r>
        <w:t xml:space="preserve">.  The department may grant a variance from </w:t>
      </w:r>
      <w:r>
        <w:t>paragraph B</w:t>
      </w:r>
      <w:r>
        <w:t xml:space="preserve"> if the variance does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100 feet wide must be maintained between an excavation and any property boundary.  This distance may be reduced to 10 feet with the written permission of the affected abutting property owner or owners, except that the distance may not be reduced to less than 25 feet from the boundary of a cemetery or burial ground.  The natural buffer strip between quarries owned by abutting owners may be eliminated with the abutter's written permission if the elimination of this natural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  Stockpiles consisting of topsoil to be used for reclamation must be seeded, mulched or otherwise temporarily stabilized.</w:t>
      </w:r>
    </w:p>
    <w:p>
      <w:pPr>
        <w:jc w:val="both"/>
        <w:spacing w:before="100" w:after="0"/>
        <w:ind w:start="720"/>
      </w:pPr>
      <w:r>
        <w:rPr/>
        <w:t>A</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§4 (AMD).]</w:t>
      </w:r>
    </w:p>
    <w:p>
      <w:pPr>
        <w:jc w:val="both"/>
        <w:spacing w:before="100" w:after="0"/>
        <w:ind w:start="720"/>
      </w:pPr>
      <w:r>
        <w:rPr/>
        <w:t>D</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§4 (NEW).]</w:t>
      </w:r>
    </w:p>
    <w:p>
      <w:pPr>
        <w:jc w:val="both"/>
        <w:spacing w:before="100" w:after="0"/>
        <w:ind w:start="360"/>
      </w:pPr>
      <w:r>
        <w:rPr/>
      </w:r>
      <w:r>
        <w:rPr/>
      </w:r>
      <w:r>
        <w:t xml:space="preserve">The department may not grant a variance from the provisions of </w:t>
      </w:r>
      <w:r>
        <w:t>paragraph A</w:t>
      </w:r>
      <w:r>
        <w:t xml:space="preserve">, </w:t>
      </w:r>
      <w:r>
        <w:t>B</w:t>
      </w:r>
      <w:r>
        <w:t xml:space="preserve">, </w:t>
      </w:r>
      <w:r>
        <w:t>C</w:t>
      </w:r>
      <w:r>
        <w:t xml:space="preserve"> or </w:t>
      </w:r>
      <w:r>
        <w:t>D</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§4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§13 (RPR).]</w:t>
      </w:r>
    </w:p>
    <w:p>
      <w:pPr>
        <w:jc w:val="both"/>
        <w:spacing w:before="100" w:after="100"/>
        <w:ind w:start="360"/>
        <w:ind w:firstLine="360"/>
      </w:pPr>
      <w:r>
        <w:rPr>
          <w:b/>
        </w:rPr>
        <w:t>10</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§35 (NEW); MRSA T. 38 §§490-Z, sub-§10,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§17 (AMD).]</w:t>
      </w:r>
    </w:p>
    <w:p>
      <w:pPr>
        <w:jc w:val="both"/>
        <w:spacing w:before="100" w:after="0"/>
        <w:ind w:start="360"/>
        <w:ind w:firstLine="360"/>
      </w:pPr>
      <w:r>
        <w:rPr>
          <w:b/>
        </w:rPr>
        <w:t>11</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Dust.</w:t>
        <w:t xml:space="preserve"> </w:t>
      </w:r>
      <w:r>
        <w:t xml:space="preserve"> </w:t>
      </w:r>
      <w:r>
        <w:t xml:space="preserve">Dust generated by activities at a quarry, including dust associated with traffic to and from a quarry, must be controlled by sweeping, paving, watering or other best management practices for control of fugitive emissions.  Dust control methods may include calcium chloride as long as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§14 (AMD).]</w:t>
      </w:r>
    </w:p>
    <w:p>
      <w:pPr>
        <w:jc w:val="both"/>
        <w:spacing w:before="100" w:after="100"/>
        <w:ind w:start="360"/>
        <w:ind w:firstLine="360"/>
      </w:pPr>
      <w:r>
        <w:rPr>
          <w:b/>
        </w:rPr>
        <w:t>13</w:t>
        <w:t xml:space="preserve">.  </w:t>
      </w:r>
      <w:r>
        <w:rPr>
          <w:b/>
        </w:rPr>
        <w:t xml:space="preserve">Reclamation.</w:t>
        <w:t xml:space="preserve"> </w:t>
      </w:r>
      <w:r>
        <w:t xml:space="preserve"> </w:t>
      </w:r>
      <w:r>
        <w:t xml:space="preserve">The affected land must be restored to a condition that is similar to or compatible with the conditions that existed before excavation.  Reclamation may be conducted in accordance with the department's best management practices for erosion and sedimentation control and must include the following.</w:t>
      </w:r>
    </w:p>
    <w:p>
      <w:pPr>
        <w:jc w:val="both"/>
        <w:spacing w:before="100" w:after="0"/>
        <w:ind w:start="720"/>
      </w:pPr>
      <w:r>
        <w:rPr/>
        <w:t>A</w:t>
        <w:t xml:space="preserve">.  </w:t>
      </w:r>
      <w:r>
        <w:rPr/>
      </w:r>
      <w:r>
        <w:t xml:space="preserve">Highwalls, or quarry faces, must be treated in such a manner as to leave them in a condition that minimizes the possibility of rock falls, slope failures and collapse.  A highwall that is loose must be controlled by the use of blasting or scaling, the use of safety benches, the use of flatter slopes or reduced face heights or the use of benching near the top of the face or rounding the edge of the face.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vegetative cover must be established by seeding or planting within one year of the completion of excavation.  Vegetative cover must be established on all affected land except for quarry walls and flooded areas.  A vegetative cover must be established on safety benches, unless otherwise approved by the department.  Topsoil must be placed, seeded and mulched within 30 days of final grading.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 results in permanent 90% ground cover.</w:t>
      </w:r>
    </w:p>
    <w:p>
      <w:pPr>
        <w:jc w:val="both"/>
        <w:spacing w:before="100" w:after="0"/>
        <w:ind w:start="720"/>
      </w:pPr>
      <w:r>
        <w:rPr/>
      </w:r>
      <w:r>
        <w:rPr/>
      </w:r>
      <w:r>
        <w:t xml:space="preserve">Vegetative cover used in reclamation must consist of grasses, legumes, herbaceous or woody plants, shrubs, trees or a mixture of these.</w:t>
      </w:r>
      <w:r>
        <w:t xml:space="preserve">  </w:t>
      </w:r>
      <w:r xmlns:wp="http://schemas.openxmlformats.org/drawingml/2010/wordprocessingDrawing" xmlns:w15="http://schemas.microsoft.com/office/word/2012/wordml">
        <w:rPr>
          <w:rFonts w:ascii="Arial" w:hAnsi="Arial" w:cs="Arial"/>
          <w:sz w:val="22"/>
          <w:szCs w:val="22"/>
        </w:rPr>
        <w:t xml:space="preserve">[PL 1997, c. 364, §23 (AMD).]</w:t>
      </w:r>
    </w:p>
    <w:p>
      <w:pPr>
        <w:jc w:val="both"/>
        <w:spacing w:before="100" w:after="0"/>
        <w:ind w:start="720"/>
      </w:pPr>
      <w:r>
        <w:rPr/>
        <w:t>C</w:t>
        <w:t xml:space="preserve">.  </w:t>
      </w:r>
      <w:r>
        <w:rPr/>
      </w:r>
      <w:r>
        <w:t xml:space="preserve">All structures, once no longer in use, and all access roads, haul roads and other support roads must be reclaimed.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All affected lands must be reclaimed within 2 years after final grading.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Topsoil that is stripped or removed must be stockpiled for use in reclaiming disturbed land areas.  The department may grant a variance from this paragraph if the applicant demonstrates that the soil is not needed for reclamation purposes.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The department may require a bond payable to the State with sureties satisfactory to the department or such other security as the department determines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G</w:t>
        <w:t xml:space="preserve">.  </w:t>
      </w:r>
      <w:r>
        <w:rPr/>
      </w:r>
      <w:r>
        <w:t xml:space="preserve">The board may adopt or amend rules to carry out this subsection, including rules relating to operational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and the manner of determining when the bond or other security may be discharged.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§23 (AMD).]</w:t>
      </w:r>
    </w:p>
    <w:p>
      <w:pPr>
        <w:jc w:val="both"/>
        <w:spacing w:before="100" w:after="100"/>
        <w:ind w:start="360"/>
        <w:ind w:firstLine="360"/>
      </w:pPr>
      <w:r>
        <w:rPr>
          <w:b/>
        </w:rPr>
        <w:t>14</w:t>
        <w:t xml:space="preserve">.  </w:t>
      </w:r>
      <w:r>
        <w:rPr>
          <w:b/>
        </w:rPr>
        <w:t xml:space="preserve">Blasting.</w:t>
        <w:t xml:space="preserve"> </w:t>
      </w:r>
      <w:r>
        <w:t xml:space="preserve"> </w:t>
      </w:r>
      <w:r>
        <w:t xml:space="preserve">The applicant must ensure that the blasting is conducted in accordance with </w:t>
      </w:r>
      <w:r>
        <w:t>Title 25, chapter 318</w:t>
      </w:r>
      <w:r>
        <w:t xml:space="preserve">.</w:t>
      </w:r>
    </w:p>
    <w:p>
      <w:pPr>
        <w:jc w:val="both"/>
        <w:spacing w:before="100" w:after="0"/>
        <w:ind w:start="720"/>
      </w:pPr>
      <w:r>
        <w:rPr/>
        <w:t>A</w:t>
        <w:t xml:space="preserve">.  </w:t>
      </w:r>
      <w:r>
        <w:rPr/>
      </w:r>
      <w:r>
        <w:t xml:space="preserve">The owner or operator shall use sufficient stemming, matting or natural protective cover to prevent flyrock from leaving property owned or under control of the owner or operator or from entering protected natural resources or natural buffer strips.  Crushed rock or other suitable material must be used for stemming when available; native gravel, drill cuttings or other material may be used for stemming only if no other suitable material is available.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The maximum allowable airblast at any inhabited building not owned or controlled by the developer may not exceed 129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The maximum allowable airblast at an uninhabited building not owned or controlled by the developer may not exceed 140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Monitoring of airblast levels is required in all cases for which a preblast survey is required by </w:t>
      </w:r>
      <w:r>
        <w:t>paragraph F</w:t>
      </w:r>
      <w:r>
        <w:t xml:space="preserve">.  The department may waive the monitoring requirement if the owner or operator secures the permission of affected property owners to increase allowable airblast levels on their property and the department determines that no protected natural resource will be adversely affected by the increased airblast levels.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If a blast is to be initiated by detonating cord, the detonating cord must be covered by crushed rock or other suitable cover to reduce noise and concussion effects.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A preblast survey is required for all production blasting and must extend a minimum radius of 1/2 mile from the blast site.  The preblast survey must document any preexisting damage to structures and buildings and any other physical features within the survey radius that could reasonably be affected by blasting.  Assessment of features such as pipes, cables, transmission lines and wells and other water supply systems must be limited to surface conditions and other readily available data, such as well yield and water quality.  The preblast survey must be conducted prior to the initiation of blasting at the operation.  The owner or operator shall retain a copy of all preblast surveys for at least one year from the date of the last blast on the development site.</w:t>
      </w:r>
    </w:p>
    <w:p>
      <w:pPr>
        <w:jc w:val="both"/>
        <w:spacing w:before="100" w:after="0"/>
        <w:ind w:start="1080"/>
      </w:pPr>
      <w:r>
        <w:rPr/>
        <w:t>(</w:t>
        <w:t>1</w:t>
        <w:t xml:space="preserve">)  </w:t>
      </w:r>
      <w:r>
        <w:rPr/>
      </w:r>
      <w:r>
        <w:t xml:space="preserve">The owner or operator is not required to conduct a preblast survey if the department determines that no protected natural resource within the limits of the otherwise required survey is likely to be affected by blasting and production blasting will not occur within 2000 feet of any building not owned or under the control of the developer.</w:t>
      </w:r>
    </w:p>
    <w:p>
      <w:pPr>
        <w:jc w:val="both"/>
        <w:spacing w:before="100" w:after="0"/>
        <w:ind w:start="1080"/>
      </w:pPr>
      <w:r>
        <w:rPr/>
        <w:t>(</w:t>
        <w:t>2</w:t>
        <w:t xml:space="preserve">)  </w:t>
      </w:r>
      <w:r>
        <w:rPr/>
      </w:r>
      <w:r>
        <w:t xml:space="preserve">The owner or operator is not required to conduct a preblast survey on properties for which the owner or operator documents the rejection of an offer by registered letter, return receipt requested, to conduct a preblast survey.  Any person owning a building within a preblast survey radius may voluntarily waive the right to a survey.</w:t>
      </w:r>
    </w:p>
    <w:p>
      <w:pPr>
        <w:jc w:val="both"/>
        <w:spacing w:before="100" w:after="0"/>
        <w:ind w:start="1080"/>
      </w:pPr>
      <w:r>
        <w:rPr/>
        <w:t>(</w:t>
        <w:t>3</w:t>
        <w:t xml:space="preserve">)  </w:t>
      </w:r>
      <w:r>
        <w:rPr/>
      </w:r>
      <w:r>
        <w:t xml:space="preserve">The owner or operator is not required to conduct a preblast survey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 </w:t>
      </w:r>
      <w:r xmlns:wp="http://schemas.openxmlformats.org/drawingml/2010/wordprocessingDrawing" xmlns:w15="http://schemas.microsoft.com/office/word/2012/wordml">
        <w:rPr>
          <w:vertAlign w:val="superscript"/>
        </w:rP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§15 (AMD).]</w:t>
      </w:r>
    </w:p>
    <w:p>
      <w:pPr>
        <w:jc w:val="both"/>
        <w:spacing w:before="100" w:after="0"/>
        <w:ind w:start="720"/>
      </w:pPr>
      <w:r>
        <w:rPr/>
        <w:t>G</w:t>
        <w:t xml:space="preserve">.  </w:t>
      </w:r>
      <w:r>
        <w:rPr/>
      </w:r>
      <w:r>
        <w:t xml:space="preserve">Blasting may not occur in the period between sundown and sunrise the following day or in the period between 7:00 p.m. and 7:00 a.m., whichever is greater.  Routine production blasting is not allowed in the daytime on Sunday.  Detonation of misfires may occur outside of these times but must be reported to the department within 5 business days of the misfire detonation.  Blasting may not occur more frequently than 4 times per day.  Underground production blasting may be exempted from these requirements provided that a waiver is granted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H</w:t>
        <w:t xml:space="preserve">.  </w:t>
      </w:r>
      <w:r>
        <w:rPr/>
      </w:r>
      <w:r>
        <w:t xml:space="preserve">Sound from blasting may not exceed the following limits at any protected location:</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34"/>
        <w:gridCol w:w="1872"/>
      </w:tblGrid>
      <w:tr>
        <w:trPr>
          <w:cantSplit/>
        </w:trPr>
        <w:tc>
          <w:tcPr>
            <w:tcW w:w="2534" w:type="dxa"/>
          </w:tcPr>
          <w:p>
            <w:pPr>
              <w:jc w:val="center"/>
            </w:pPr>
            <w:r>
              <w:t xml:space="preserve">Number of Blasts Per Day</w:t>
            </w:r>
          </w:p>
        </w:tc>
        <w:tc>
          <w:tcPr>
            <w:tcW w:w="1872" w:type="dxa"/>
          </w:tcPr>
          <w:p>
            <w:pPr>
              <w:jc w:val="center"/>
            </w:pPr>
            <w:r>
              <w:t xml:space="preserve">Sound Level Limit</w:t>
            </w:r>
          </w:p>
        </w:tc>
      </w:tr>
      <w:tr>
        <w:trPr>
          <w:cantSplit/>
        </w:trPr>
        <w:tc>
          <w:tcPr>
            <w:tcW w:w="2534" w:type="dxa"/>
          </w:tcPr>
          <w:p>
            <w:pPr>
              <w:jc w:val="center"/>
            </w:pPr>
            <w:r>
              <w:t xml:space="preserve">1</w:t>
            </w:r>
          </w:p>
        </w:tc>
        <w:tc>
          <w:tcPr>
            <w:tcW w:w="1872" w:type="dxa"/>
          </w:tcPr>
          <w:p>
            <w:pPr>
              <w:jc w:val="center"/>
            </w:pPr>
            <w:r>
              <w:t xml:space="preserve">129 decibels</w:t>
            </w:r>
          </w:p>
        </w:tc>
      </w:tr>
      <w:tr>
        <w:trPr>
          <w:cantSplit/>
        </w:trPr>
        <w:tc>
          <w:tcPr>
            <w:tcW w:w="2534" w:type="dxa"/>
          </w:tcPr>
          <w:p>
            <w:pPr>
              <w:jc w:val="center"/>
            </w:pPr>
            <w:r>
              <w:t xml:space="preserve">2</w:t>
            </w:r>
          </w:p>
        </w:tc>
        <w:tc>
          <w:tcPr>
            <w:tcW w:w="1872" w:type="dxa"/>
          </w:tcPr>
          <w:p>
            <w:pPr>
              <w:jc w:val="center"/>
            </w:pPr>
            <w:r>
              <w:t xml:space="preserve">126 decibels</w:t>
            </w:r>
          </w:p>
        </w:tc>
      </w:tr>
      <w:tr>
        <w:trPr>
          <w:cantSplit/>
        </w:trPr>
        <w:tc>
          <w:tcPr>
            <w:tcW w:w="2534" w:type="dxa"/>
          </w:tcPr>
          <w:p>
            <w:pPr>
              <w:jc w:val="center"/>
            </w:pPr>
            <w:r>
              <w:t xml:space="preserve">3</w:t>
            </w:r>
          </w:p>
        </w:tc>
        <w:tc>
          <w:tcPr>
            <w:tcW w:w="1872" w:type="dxa"/>
          </w:tcPr>
          <w:p>
            <w:pPr>
              <w:jc w:val="center"/>
            </w:pPr>
            <w:r>
              <w:t xml:space="preserve">124 decibels</w:t>
            </w:r>
          </w:p>
        </w:tc>
      </w:tr>
      <w:tr>
        <w:trPr>
          <w:cantSplit/>
        </w:trPr>
        <w:tc>
          <w:tcPr>
            <w:tcW w:w="2534" w:type="dxa"/>
          </w:tcPr>
          <w:p>
            <w:pPr>
              <w:jc w:val="center"/>
            </w:pPr>
            <w:r>
              <w:t xml:space="preserve">4</w:t>
            </w:r>
          </w:p>
        </w:tc>
        <w:tc>
          <w:tcPr>
            <w:tcW w:w="1872" w:type="dxa"/>
          </w:tcPr>
          <w:p>
            <w:pPr>
              <w:jc w:val="center"/>
            </w:pPr>
            <w:r>
              <w:t xml:space="preserve">123 decibels</w:t>
            </w:r>
          </w:p>
        </w:tc>
      </w:tr>
    </w:tbl>
    <w:p>
      <w:pPr>
        <w:ind w:start="720"/>
      </w:pP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I</w:t>
        <w:t xml:space="preserve">.  </w:t>
      </w:r>
      <w:r>
        <w:rPr/>
      </w:r>
      <w:r>
        <w:t xml:space="preserve">The maximum peak particle velocity at inhabitable structures not owned or controlled by the developer may not exceed the levels established in Table 1 in </w:t>
      </w:r>
      <w:r>
        <w:t>paragraph K</w:t>
      </w:r>
      <w:r>
        <w:t xml:space="preserve"> and the graph published by the United States Department of the Interior in "Bureau of Mines Report of Investigations 8507," Appendix B, Figure B-1.  The department may grant a variance to allow ground vibration levels greater than 2 inches per second on undeveloped property not owned or controlled by the applicant if the department determines that no protected natural resource, unusual natural area or historic site will be adversely affected by the increased ground vibration levels.  If inhabitable structures are constructed on the property after approval of the development and prior to completion of blasting, the developer immediately must notify the department and modify blasting procedures to remain in compliance with the standards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J</w:t>
        <w:t xml:space="preserve">.  </w:t>
      </w:r>
      <w:r>
        <w:rPr/>
      </w:r>
      <w:r>
        <w:t xml:space="preserve">Based upon an approved engineering study, the department may grant a variance to allow higher vibration levels for certain buildings and infrastructures.  In reviewing a variance application, the department shall take into account that the standards in this paragraph and </w:t>
      </w:r>
      <w:r>
        <w:t>paragraph I</w:t>
      </w:r>
      <w:r>
        <w:t xml:space="preserve"> are designed to protect conventional low-rise structures such as churches, homes and schools.  In cases of practical difficulty, the department may grant a variance from paragraph I if it can be demonstrated that no adverse impacts on existing infrastructures or protected natural resources, unusual natural areas or historic sites will result.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K</w:t>
        <w:t xml:space="preserve">.  </w:t>
      </w:r>
      <w:r>
        <w:rPr/>
      </w:r>
      <w:r>
        <w:t xml:space="preserve">Table 1 of this paragraph or the graph published by the United States Department of the Interior in "Bureau of Mines Report of Investigations 8507," Appendix B, Figure B-1 must be used to evaluate ground vibration effects for those blasts for which a preblast survey is required.</w:t>
      </w:r>
    </w:p>
    <w:p>
      <w:pPr>
        <w:jc w:val="both"/>
        <w:spacing w:before="100" w:after="0"/>
        <w:ind w:start="1080"/>
      </w:pPr>
      <w:r>
        <w:rPr/>
        <w:t>(</w:t>
        <w:t>1</w:t>
        <w:t xml:space="preserve">)  </w:t>
      </w:r>
      <w:r>
        <w:rPr/>
      </w:r>
      <w:r>
        <w:t xml:space="preserve">Either Table 1 of this paragraph or the graph published by the United States Department of the Interior in "Bureau of Mines Report of Investigations 8507," Appendix B, Figure B-1 may be used to evaluate ground vibration effects when blasting is to be monitored by seismic instrumentation.</w:t>
      </w:r>
    </w:p>
    <w:p>
      <w:pPr>
        <w:jc w:val="both"/>
        <w:spacing w:before="100" w:after="0"/>
        <w:ind w:start="1080"/>
      </w:pPr>
      <w:r>
        <w:rPr/>
        <w:t>(</w:t>
        <w:t>2</w:t>
        <w:t xml:space="preserve">)  </w:t>
      </w:r>
      <w:r>
        <w:rPr/>
      </w:r>
      <w:r>
        <w:t xml:space="preserve">Blasting measured in accordance with Table 1 of this paragraph must be conducted so that the peak particle velocity of any one of the 3 mutually perpendicular components of motion does not exceed the ground vibration limits at the distances specified in Table 1 of this paragraph.</w:t>
      </w:r>
    </w:p>
    <w:p>
      <w:pPr>
        <w:jc w:val="both"/>
        <w:spacing w:before="100" w:after="0"/>
        <w:ind w:start="1080"/>
      </w:pPr>
      <w:r>
        <w:rPr/>
        <w:t>(</w:t>
        <w:t>3</w:t>
        <w:t xml:space="preserve">)  </w:t>
      </w:r>
      <w:r>
        <w:rPr/>
      </w:r>
      <w:r>
        <w:t xml:space="preserve">Seismic instruments that monitor blasting in accordance with Table 1 of this paragraph must have the instrument's transducer firmly coupled to the ground.</w:t>
      </w:r>
    </w:p>
    <w:p>
      <w:pPr>
        <w:jc w:val="both"/>
        <w:spacing w:before="100" w:after="0"/>
        <w:ind w:start="1080"/>
      </w:pPr>
      <w:r>
        <w:rPr/>
        <w:t>(</w:t>
        <w:t>4</w:t>
        <w:t xml:space="preserve">)  </w:t>
      </w:r>
      <w:r>
        <w:rPr/>
      </w:r>
      <w:r>
        <w:t xml:space="preserve">An owner or operator using Table 1 of this paragraph must use the scaled-distance equation, W=(D/Ds)</w:t>
      </w:r>
      <w:r xmlns:wp="http://schemas.openxmlformats.org/drawingml/2010/wordprocessingDrawing" xmlns:w15="http://schemas.microsoft.com/office/word/2012/wordml">
        <w:rPr>
          <w:vertAlign w:val="superscript"/>
        </w:rPr>
        <w:t>2</w:t>
      </w:r>
      <w:r>
        <w:t xml:space="preserve">, to determine the allowable charge weight of explosives to be detonated in any 8 millisecond or greater delay period without seismic monitoring, where W is equal to the maximum weight of explosives, in pounds, and D and Ds are defined as in Table 1 of this paragraph.  The department may authorize use of a modified scaled-distance factor for production blasting if the owner or operator can demonstrate to a 95% confidence level, based upon records of seismographic monitoring at the specific site of the mining activity covered by the permit, that use of the modified scaled-distance factor will not cause the ground vibration to exceed the maximum allowable peak particle velocities of Table 1 of this paragraph.</w:t>
      </w:r>
    </w:p>
    <w:p>
      <w:pPr>
        <w:jc w:val="both"/>
        <w:spacing w:before="100" w:after="0"/>
        <w:ind w:start="1080"/>
      </w:pPr>
      <w:r>
        <w:rPr/>
        <w:t>(</w:t>
        <w:t>5</w:t>
        <w:t xml:space="preserve">)  </w:t>
      </w:r>
      <w:r>
        <w:rPr/>
      </w:r>
      <w:r>
        <w:t xml:space="preserve">Blasting monitored in accordance with the graph published by the United States Department of the Interior in "Bureau of Mines Report of Investigations 8507," Appendix B, Figure B-1 must be conducted so that the continuously variable particle velocity criteria are not exceeded.</w:t>
      </w:r>
    </w:p>
    <w:p>
      <w:pPr>
        <w:jc w:val="both"/>
        <w:spacing w:before="100" w:after="0"/>
        <w:ind w:start="720"/>
      </w:pPr>
      <w:r>
        <w:rPr/>
      </w:r>
      <w:r>
        <w:rPr/>
      </w:r>
      <w:r>
        <w:t xml:space="preserve">The owner or operator may apply for a variance of the ground vibration monitoring requirement prior to conducting blasting at the development site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w:t>
      </w:r>
      <w:r xmlns:wp="http://schemas.openxmlformats.org/drawingml/2010/wordprocessingDrawing" xmlns:w15="http://schemas.microsoft.com/office/word/2012/wordml">
        <w:rPr>
          <w:vertAlign w:val="superscript"/>
        </w:rPr>
        <w:t>1/2</w:t>
      </w:r>
      <w:r>
        <w:t xml:space="preserve">.  As a condition of the variance, the department may require submission of records certified as accurate by the blaster and may require the owner or operator to document compliance with the conditions of this paragraph.</w:t>
      </w:r>
    </w:p>
    <w:p xmlns:wp="http://schemas.openxmlformats.org/drawingml/2010/wordprocessingDrawing" xmlns:w15="http://schemas.microsoft.com/office/word/2012/wordml">
      <w:pPr>
        <w:spacing w:before="100" w:after="100"/>
        <w:ind w:start="1080"/>
      </w:pPr>
      <w:r>
        <w:t xml:space="preserve">The following is Table 1. </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1872"/>
        <w:gridCol w:w="3269"/>
        <w:gridCol w:w="2923"/>
      </w:tblGrid>
      <w:tr>
        <w:trPr>
          <w:cantSplit/>
        </w:trPr>
        <w:tc>
          <w:tcPr>
            <w:tcW w:w="8280" w:type="dxa"/>
            <w:gridSpan w:val="4"/>
          </w:tcPr>
          <w:p>
            <w:pPr>
              <w:jc w:val="left"/>
            </w:pPr>
            <w:r>
              <w:t xml:space="preserve">Distance versus Peak Particle Velocity Method</w:t>
            </w:r>
          </w:p>
        </w:tc>
      </w:tr>
      <w:tr>
        <w:trPr>
          <w:cantSplit/>
        </w:trPr>
        <w:tc>
          <w:tcPr>
            <w:tcW w:w="216" w:type="dxa"/>
          </w:tcPr>
          <w:p>
            <w:pPr>
              <w:jc w:val="both"/>
            </w:pPr>
          </w:p>
        </w:tc>
        <w:tc>
          <w:tcPr>
            <w:tcW w:w="1872" w:type="dxa"/>
          </w:tcPr>
          <w:p>
            <w:pPr>
              <w:jc w:val="left"/>
            </w:pPr>
            <w:r>
              <w:t xml:space="preserve">Distance (D) from the blast area (feet)</w:t>
            </w:r>
          </w:p>
        </w:tc>
        <w:tc>
          <w:tcPr>
            <w:tcW w:w="3269" w:type="dxa"/>
          </w:tcPr>
          <w:p>
            <w:pPr>
              <w:jc w:val="left"/>
            </w:pPr>
            <w:r>
              <w:t xml:space="preserve">Maximum allowable peak particle velocity (Vmax) for ground vibration (in./sec.)</w:t>
            </w:r>
          </w:p>
        </w:tc>
        <w:tc>
          <w:tcPr>
            <w:tcW w:w="2923" w:type="dxa"/>
          </w:tcPr>
          <w:p>
            <w:pPr>
              <w:jc w:val="left"/>
            </w:pPr>
            <w:r>
              <w:t xml:space="preserve">Scaled-distance factor (Ds) to be applied without seismic monitoring</w:t>
            </w:r>
          </w:p>
        </w:tc>
      </w:tr>
      <w:tr>
        <w:trPr>
          <w:cantSplit/>
        </w:trPr>
        <w:tc>
          <w:tcPr>
            <w:tcW w:w="216" w:type="dxa"/>
          </w:tcPr>
          <w:p>
            <w:pPr>
              <w:jc w:val="both"/>
            </w:pPr>
          </w:p>
        </w:tc>
        <w:tc>
          <w:tcPr>
            <w:tcW w:w="1872" w:type="dxa"/>
          </w:tcPr>
          <w:p>
            <w:pPr>
              <w:jc w:val="left"/>
            </w:pPr>
            <w:r>
              <w:t xml:space="preserve">0 to 300</w:t>
            </w:r>
          </w:p>
        </w:tc>
        <w:tc>
          <w:tcPr>
            <w:tcW w:w="3269" w:type="dxa"/>
          </w:tcPr>
          <w:p>
            <w:pPr>
              <w:jc w:val="center"/>
            </w:pPr>
            <w:r>
              <w:t xml:space="preserve">1.25 </w:t>
            </w:r>
          </w:p>
        </w:tc>
        <w:tc>
          <w:tcPr>
            <w:tcW w:w="2923" w:type="dxa"/>
          </w:tcPr>
          <w:p>
            <w:pPr>
              <w:jc w:val="center"/>
            </w:pPr>
            <w:r>
              <w:t xml:space="preserve">50</w:t>
            </w:r>
          </w:p>
        </w:tc>
      </w:tr>
      <w:tr>
        <w:trPr>
          <w:cantSplit/>
        </w:trPr>
        <w:tc>
          <w:tcPr>
            <w:tcW w:w="216" w:type="dxa"/>
          </w:tcPr>
          <w:p>
            <w:pPr>
              <w:jc w:val="both"/>
            </w:pPr>
          </w:p>
        </w:tc>
        <w:tc>
          <w:tcPr>
            <w:tcW w:w="1872" w:type="dxa"/>
          </w:tcPr>
          <w:p>
            <w:pPr>
              <w:jc w:val="left"/>
            </w:pPr>
            <w:r>
              <w:t xml:space="preserve">301-5000</w:t>
            </w:r>
          </w:p>
        </w:tc>
        <w:tc>
          <w:tcPr>
            <w:tcW w:w="3269" w:type="dxa"/>
          </w:tcPr>
          <w:p>
            <w:pPr>
              <w:jc w:val="center"/>
            </w:pPr>
            <w:r>
              <w:t xml:space="preserve">1.00</w:t>
            </w:r>
          </w:p>
        </w:tc>
        <w:tc>
          <w:tcPr>
            <w:tcW w:w="2923" w:type="dxa"/>
          </w:tcPr>
          <w:p>
            <w:pPr>
              <w:jc w:val="center"/>
            </w:pPr>
            <w:r>
              <w:t xml:space="preserve">55</w:t>
            </w:r>
          </w:p>
        </w:tc>
      </w:tr>
      <w:tr>
        <w:trPr>
          <w:cantSplit/>
        </w:trPr>
        <w:tc>
          <w:tcPr>
            <w:tcW w:w="216" w:type="dxa"/>
          </w:tcPr>
          <w:p>
            <w:pPr>
              <w:jc w:val="both"/>
            </w:pPr>
          </w:p>
        </w:tc>
        <w:tc>
          <w:tcPr>
            <w:tcW w:w="1872" w:type="dxa"/>
          </w:tcPr>
          <w:p>
            <w:pPr>
              <w:jc w:val="left"/>
            </w:pPr>
            <w:r>
              <w:t xml:space="preserve">Greater than 5000</w:t>
            </w:r>
          </w:p>
        </w:tc>
        <w:tc>
          <w:tcPr>
            <w:tcW w:w="3269" w:type="dxa"/>
          </w:tcPr>
          <w:p>
            <w:pPr>
              <w:jc w:val="center"/>
            </w:pPr>
            <w:r>
              <w:t xml:space="preserve">0.75 </w:t>
            </w:r>
          </w:p>
        </w:tc>
        <w:tc>
          <w:tcPr>
            <w:tcW w:w="2923" w:type="dxa"/>
          </w:tcPr>
          <w:p>
            <w:pPr>
              <w:jc w:val="center"/>
            </w:pPr>
            <w:r>
              <w:t xml:space="preserve">65</w:t>
            </w:r>
          </w:p>
        </w:tc>
      </w:tr>
    </w:tbl>
    <w:p>
      <w:pPr>
        <w:jc w:val="both"/>
        <w:spacing w:before="100" w:after="0"/>
        <w:ind w:start="720"/>
      </w:pPr>
      <w:r>
        <w:rPr/>
        <w:t>L</w:t>
        <w:t xml:space="preserve">.  </w:t>
      </w:r>
      <w:r>
        <w:rPr/>
      </w:r>
      <w:r>
        <w:t xml:space="preserve">A record of each blast, including seismographic data, must be kept for at least one year from the date of the last blast, must be available for inspection at the development or at the offices of the owner or operator if the development has been closed, completed or abandoned before the one-year limit has passed and must contain at a minimum the following data:</w:t>
      </w:r>
    </w:p>
    <w:p>
      <w:pPr>
        <w:jc w:val="both"/>
        <w:spacing w:before="100" w:after="0"/>
        <w:ind w:start="1080"/>
      </w:pPr>
      <w:r>
        <w:rPr/>
        <w:t>(</w:t>
        <w:t>1</w:t>
        <w:t xml:space="preserve">)  </w:t>
      </w:r>
      <w:r>
        <w:rPr/>
      </w:r>
      <w:r>
        <w:t xml:space="preserve">Name of blasting company or blasting contractor;</w:t>
      </w:r>
    </w:p>
    <w:p>
      <w:pPr>
        <w:jc w:val="both"/>
        <w:spacing w:before="100" w:after="0"/>
        <w:ind w:start="1080"/>
      </w:pPr>
      <w:r>
        <w:rPr/>
        <w:t>(</w:t>
        <w:t>2</w:t>
        <w:t xml:space="preserve">)  </w:t>
      </w:r>
      <w:r>
        <w:rPr/>
      </w:r>
      <w:r>
        <w:t xml:space="preserve">Location, date and time of blast;</w:t>
      </w:r>
    </w:p>
    <w:p>
      <w:pPr>
        <w:jc w:val="both"/>
        <w:spacing w:before="100" w:after="0"/>
        <w:ind w:start="1080"/>
      </w:pPr>
      <w:r>
        <w:rPr/>
        <w:t>(</w:t>
        <w:t>3</w:t>
        <w:t xml:space="preserve">)  </w:t>
      </w:r>
      <w:r>
        <w:rPr/>
      </w:r>
      <w:r>
        <w:t xml:space="preserve">Name, signature and social security number of blaster;</w:t>
      </w:r>
    </w:p>
    <w:p>
      <w:pPr>
        <w:jc w:val="both"/>
        <w:spacing w:before="100" w:after="0"/>
        <w:ind w:start="1080"/>
      </w:pPr>
      <w:r>
        <w:rPr/>
        <w:t>(</w:t>
        <w:t>4</w:t>
        <w:t xml:space="preserve">)  </w:t>
      </w:r>
      <w:r>
        <w:rPr/>
      </w:r>
      <w:r>
        <w:t xml:space="preserve">Type of material blasted;</w:t>
      </w:r>
    </w:p>
    <w:p>
      <w:pPr>
        <w:jc w:val="both"/>
        <w:spacing w:before="100" w:after="0"/>
        <w:ind w:start="1080"/>
      </w:pPr>
      <w:r>
        <w:rPr/>
        <w:t>(</w:t>
        <w:t>5</w:t>
        <w:t xml:space="preserve">)  </w:t>
      </w:r>
      <w:r>
        <w:rPr/>
      </w:r>
      <w:r>
        <w:t xml:space="preserve">Number and spacing of holes and depth of burden or stemming;</w:t>
      </w:r>
    </w:p>
    <w:p>
      <w:pPr>
        <w:jc w:val="both"/>
        <w:spacing w:before="100" w:after="0"/>
        <w:ind w:start="1080"/>
      </w:pPr>
      <w:r>
        <w:rPr/>
        <w:t>(</w:t>
        <w:t>6</w:t>
        <w:t xml:space="preserve">)  </w:t>
      </w:r>
      <w:r>
        <w:rPr/>
      </w:r>
      <w:r>
        <w:t xml:space="preserve">Diameter and depth of holes;</w:t>
      </w:r>
    </w:p>
    <w:p>
      <w:pPr>
        <w:jc w:val="both"/>
        <w:spacing w:before="100" w:after="0"/>
        <w:ind w:start="1080"/>
      </w:pPr>
      <w:r>
        <w:rPr/>
        <w:t>(</w:t>
        <w:t>7</w:t>
        <w:t xml:space="preserve">)  </w:t>
      </w:r>
      <w:r>
        <w:rPr/>
      </w:r>
      <w:r>
        <w:t xml:space="preserve">Type of explosives used;</w:t>
      </w:r>
    </w:p>
    <w:p>
      <w:pPr>
        <w:jc w:val="both"/>
        <w:spacing w:before="100" w:after="0"/>
        <w:ind w:start="1080"/>
      </w:pPr>
      <w:r>
        <w:rPr/>
        <w:t>(</w:t>
        <w:t>8</w:t>
        <w:t xml:space="preserve">)  </w:t>
      </w:r>
      <w:r>
        <w:rPr/>
      </w:r>
      <w:r>
        <w:t xml:space="preserve">Total amount of explosives used;</w:t>
      </w:r>
    </w:p>
    <w:p>
      <w:pPr>
        <w:jc w:val="both"/>
        <w:spacing w:before="100" w:after="0"/>
        <w:ind w:start="1080"/>
      </w:pPr>
      <w:r>
        <w:rPr/>
        <w:t>(</w:t>
        <w:t>9</w:t>
        <w:t xml:space="preserve">)  </w:t>
      </w:r>
      <w:r>
        <w:rPr/>
      </w:r>
      <w:r>
        <w:t xml:space="preserve">Maximum amount of explosives used per delay period of 8 milliseconds or greater;</w:t>
      </w:r>
    </w:p>
    <w:p>
      <w:pPr>
        <w:jc w:val="both"/>
        <w:spacing w:before="100" w:after="0"/>
        <w:ind w:start="1080"/>
      </w:pPr>
      <w:r>
        <w:rPr/>
        <w:t>(</w:t>
        <w:t>10</w:t>
        <w:t xml:space="preserve">)  </w:t>
      </w:r>
      <w:r>
        <w:rPr/>
      </w:r>
      <w:r>
        <w:t xml:space="preserve">Maximum number of holes per delay period of 8 milliseconds or greater;</w:t>
      </w:r>
    </w:p>
    <w:p>
      <w:pPr>
        <w:jc w:val="both"/>
        <w:spacing w:before="100" w:after="0"/>
        <w:ind w:start="1080"/>
      </w:pPr>
      <w:r>
        <w:rPr/>
        <w:t>(</w:t>
        <w:t>11</w:t>
        <w:t xml:space="preserve">)  </w:t>
      </w:r>
      <w:r>
        <w:rPr/>
      </w:r>
      <w:r>
        <w:t xml:space="preserve">Method of firing and type of circuit;</w:t>
      </w:r>
    </w:p>
    <w:p>
      <w:pPr>
        <w:jc w:val="both"/>
        <w:spacing w:before="100" w:after="0"/>
        <w:ind w:start="1080"/>
      </w:pPr>
      <w:r>
        <w:rPr/>
        <w:t>(</w:t>
        <w:t>12</w:t>
        <w:t xml:space="preserve">)  </w:t>
      </w:r>
      <w:r>
        <w:rPr/>
      </w:r>
      <w:r>
        <w:t xml:space="preserve">Direction and distance in feet to the nearest dwelling, public building, school, church or commercial or institutional building neither owned nor controlled by the developer;</w:t>
      </w:r>
    </w:p>
    <w:p>
      <w:pPr>
        <w:jc w:val="both"/>
        <w:spacing w:before="100" w:after="0"/>
        <w:ind w:start="1080"/>
      </w:pPr>
      <w:r>
        <w:rPr/>
        <w:t>(</w:t>
        <w:t>13</w:t>
        <w:t xml:space="preserve">)  </w:t>
      </w:r>
      <w:r>
        <w:rPr/>
      </w:r>
      <w:r>
        <w:t xml:space="preserve">Weather conditions, including factors such as wind direction and cloud cover;</w:t>
      </w:r>
    </w:p>
    <w:p>
      <w:pPr>
        <w:jc w:val="both"/>
        <w:spacing w:before="100" w:after="0"/>
        <w:ind w:start="1080"/>
      </w:pPr>
      <w:r>
        <w:rPr/>
        <w:t>(</w:t>
        <w:t>14</w:t>
        <w:t xml:space="preserve">)  </w:t>
      </w:r>
      <w:r>
        <w:rPr/>
      </w:r>
      <w:r>
        <w:t xml:space="preserve">Height or length of stemming;</w:t>
      </w:r>
    </w:p>
    <w:p>
      <w:pPr>
        <w:jc w:val="both"/>
        <w:spacing w:before="100" w:after="0"/>
        <w:ind w:start="1080"/>
      </w:pPr>
      <w:r>
        <w:rPr/>
        <w:t>(</w:t>
        <w:t>15</w:t>
        <w:t xml:space="preserve">)  </w:t>
      </w:r>
      <w:r>
        <w:rPr/>
      </w:r>
      <w:r>
        <w:t xml:space="preserve">Amount of mats or other protection used;</w:t>
      </w:r>
    </w:p>
    <w:p>
      <w:pPr>
        <w:jc w:val="both"/>
        <w:spacing w:before="100" w:after="0"/>
        <w:ind w:start="1080"/>
      </w:pPr>
      <w:r>
        <w:rPr/>
        <w:t>(</w:t>
        <w:t>16</w:t>
        <w:t xml:space="preserve">)  </w:t>
      </w:r>
      <w:r>
        <w:rPr/>
      </w:r>
      <w:r>
        <w:t xml:space="preserve">Type of detonators used and delay periods used;</w:t>
      </w:r>
    </w:p>
    <w:p>
      <w:pPr>
        <w:jc w:val="both"/>
        <w:spacing w:before="100" w:after="0"/>
        <w:ind w:start="1080"/>
      </w:pPr>
      <w:r>
        <w:rPr/>
        <w:t>(</w:t>
        <w:t>17</w:t>
        <w:t xml:space="preserve">)  </w:t>
      </w:r>
      <w:r>
        <w:rPr/>
      </w:r>
      <w:r>
        <w:t xml:space="preserve">The exact location of each seismograph and the distance of each seismograph from the blast;</w:t>
      </w:r>
    </w:p>
    <w:p>
      <w:pPr>
        <w:jc w:val="both"/>
        <w:spacing w:before="100" w:after="0"/>
        <w:ind w:start="1080"/>
      </w:pPr>
      <w:r>
        <w:rPr/>
        <w:t>(</w:t>
        <w:t>18</w:t>
        <w:t xml:space="preserve">)  </w:t>
      </w:r>
      <w:r>
        <w:rPr/>
      </w:r>
      <w:r>
        <w:t xml:space="preserve">Seismographic readings;</w:t>
      </w:r>
    </w:p>
    <w:p>
      <w:pPr>
        <w:jc w:val="both"/>
        <w:spacing w:before="100" w:after="0"/>
        <w:ind w:start="1080"/>
      </w:pPr>
      <w:r>
        <w:rPr/>
        <w:t>(</w:t>
        <w:t>19</w:t>
        <w:t xml:space="preserve">)  </w:t>
      </w:r>
      <w:r>
        <w:rPr/>
      </w:r>
      <w:r>
        <w:t xml:space="preserve">Name and signature of the person operating each seismograph; and</w:t>
      </w:r>
    </w:p>
    <w:p>
      <w:pPr>
        <w:jc w:val="both"/>
        <w:spacing w:before="100" w:after="0"/>
        <w:ind w:start="1080"/>
      </w:pPr>
      <w:r>
        <w:rPr/>
        <w:t>(</w:t>
        <w:t>20</w:t>
        <w:t xml:space="preserve">)  </w:t>
      </w:r>
      <w:r>
        <w:rPr/>
      </w:r>
      <w:r>
        <w:t xml:space="preserve">Names of the person and the firm analyzing the seismographic data.</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M</w:t>
        <w:t xml:space="preserve">.  </w:t>
      </w:r>
      <w:r>
        <w:rPr/>
      </w:r>
      <w:r>
        <w:t xml:space="preserve">All field seismographs must record the full analog wave form of each of the 3 mutually perpendicular components of motion in terms of particle velocity.  All seismographs must be capable of sensor check and must be calibrated according to the manufacturer's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N</w:t>
        <w:t xml:space="preserve">.  </w:t>
      </w:r>
      <w:r>
        <w:rPr/>
      </w:r>
      <w:r>
        <w:t xml:space="preserve">If any blasting activity exceeds the standards in this subsection, the department must be notified within 48 hours of the blast event.  Notification must include the name of the blasting operator, the location, date and time of the blasting event and a description of the specific occurrence that is in noncompliance with this subsection. Use of explosives at the quarry may be suspended by the department until the cause of the noncompliance is identified and appropriate steps are implemented to reduce, prevent or eliminate reoccurrence.</w:t>
      </w:r>
      <w:r>
        <w:t xml:space="preserve">  </w:t>
      </w:r>
      <w:r xmlns:wp="http://schemas.openxmlformats.org/drawingml/2010/wordprocessingDrawing" xmlns:w15="http://schemas.microsoft.com/office/word/2012/wordml">
        <w:rPr>
          <w:rFonts w:ascii="Arial" w:hAnsi="Arial" w:cs="Arial"/>
          <w:sz w:val="22"/>
          <w:szCs w:val="22"/>
        </w:rPr>
        <w:t xml:space="preserve">[PL 2007, c. 297, §10 (NEW).]</w:t>
      </w:r>
    </w:p>
    <w:p>
      <w:pPr>
        <w:jc w:val="both"/>
        <w:spacing w:before="100" w:after="0"/>
        <w:ind w:start="720"/>
      </w:pPr>
      <w:r>
        <w:rPr/>
        <w:t>O</w:t>
        <w:t xml:space="preserve">.  </w:t>
      </w:r>
      <w:r>
        <w:rPr/>
      </w:r>
      <w:r>
        <w:t xml:space="preserve">Prior to blasting, the owner or operator shall develop and implement a plan that provides an opportunity for prior notification of a planned blast for all persons located within 1,000 feet of the blast site.  Notification may be by telephone, in writing, by public notice in a newspaper of general circulation in the area affected or by other means identified in the plan.  The plan must be in writing and available for inspection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§§10, 11 (AMD).]</w:t>
      </w:r>
    </w:p>
    <w:p>
      <w:pPr>
        <w:jc w:val="both"/>
        <w:spacing w:before="100" w:after="0"/>
        <w:ind w:start="360"/>
        <w:ind w:firstLine="360"/>
      </w:pPr>
      <w:r>
        <w:rPr>
          <w:b/>
        </w:rPr>
        <w:t>15</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§23 (AMD). PL 1999, c. 468, §17 (AMD). PL 1999, c. 556, §35 (AMD). PL 1999, c. 652, §10 (AMD). PL 2005, c. 158, §§11-15 (AMD). PL 2005, c. 561, §4 (AMD). PL 2007, c. 290, §12 (AMD). PL 2007, c. 297, §§10, 11 (AMD). PL 2007, c. 364, §3 (AMD). PL 2007, c. 616, §§6-8 (AMD). PL 2009, c. 293,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§490-Z. Performance standards for quarries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§490-Z. Performance standards for quarries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§490-Z. PERFORMANCE STANDARDS FOR QUARRIES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