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Execution by Governor; form of execution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Vermont, Massachusetts, Connecticut, Rhode Island and New York, to be known as the New England Interstate Water Pollution Control Compact, heretofore adopted by the states of Massachusetts, Connecticut, Rhode Island, New York, Vermont and New Hampshire and approved by Act of the Congress of the United States, and to execute any supplementary agreements with the states now parties to such compact and the operation thereof.</w:t>
      </w:r>
    </w:p>
    <w:p>
      <w:pPr>
        <w:jc w:val="both"/>
        <w:spacing w:before="100" w:after="100"/>
        <w:ind w:start="360"/>
        <w:ind w:firstLine="360"/>
      </w:pPr>
      <w:r>
        <w:rPr/>
      </w:r>
      <w:r>
        <w:rPr/>
      </w:r>
      <w:r>
        <w:t xml:space="preserve">When the Governor, on behalf of the State, executes such compact or any agreement supplementary thereto, the Governor shall affix the Governor's signature thereto under a recital that the compact or agreement is executed pursuant to the provisions thereof, subject to the limitations and qualifications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2,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Execution by Governor; form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Execution by Governor; form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§531. EXECUTION BY GOVERNOR; FORM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