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Effective date</w:t>
      </w:r>
    </w:p>
    <w:p>
      <w:pPr>
        <w:jc w:val="both"/>
        <w:spacing w:before="100" w:after="100"/>
        <w:ind w:start="360"/>
        <w:ind w:firstLine="360"/>
      </w:pPr>
      <w:r>
        <w:rPr/>
      </w:r>
      <w:r>
        <w:rPr/>
      </w:r>
      <w:r>
        <w:t xml:space="preserve">This compact, when executed by the Governor as prescribed in </w:t>
      </w:r>
      <w:r>
        <w:t>section 531</w:t>
      </w:r>
      <w:r>
        <w:t xml:space="preserve">, shall be deemed to be fully adopted and shall thereupon become binding upon the State of Maine as between it and the several other signatory states agreeably to the true tenor and extent thereof. Such compact, supplementary agreements and notices of withdrawal shall be filed in the office of the Secretary of State of the State of Maine.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