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552-A</w:t>
        <w:t xml:space="preserve">.  </w:t>
      </w:r>
      <w:r>
        <w:rPr>
          <w:b/>
        </w:rPr>
        <w:t xml:space="preserve">Detention of vessels</w:t>
      </w:r>
    </w:p>
    <w:p>
      <w:pPr>
        <w:jc w:val="both"/>
        <w:spacing w:before="100" w:after="100"/>
        <w:ind w:start="360"/>
        <w:ind w:firstLine="360"/>
      </w:pPr>
      <w:r>
        <w:rPr/>
      </w:r>
      <w:r>
        <w:rPr/>
      </w:r>
      <w:r>
        <w:t xml:space="preserve">Whenever there is probable cause to believe that a vessel has violated or been the means of a violation of this subchapter or any other law which the Department of Environmental Protection is responsible for administering or any rule or order of the board, commissioner or any official of the department made thereunder, the vessel must be detained in any port of the State until payment of any fine or penalty assessable under the law has been paid or secured to the satisfaction of the Attorney General. Any justice or judge of the Superior Court or the District Court may issue such orders as are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§18 (NEW). PL 1989, c. 890, §§A40,B124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§552-A. Detention of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§552-A. Detention of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§552-A. DETENTION OF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