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Review of rules</w:t>
      </w:r>
    </w:p>
    <w:p>
      <w:pPr>
        <w:jc w:val="both"/>
        <w:spacing w:before="100" w:after="100"/>
        <w:ind w:start="360"/>
        <w:ind w:firstLine="360"/>
      </w:pPr>
      <w:r>
        <w:rPr/>
      </w:r>
      <w:r>
        <w:rPr/>
      </w:r>
      <w:r>
        <w:t xml:space="preserve">Rules adopted by the board pursuant to this subarticle shall be immediately submitted to the joint standing committee of the Legislature having jurisdiction over natural resources for review and may not become effective until 91 days after the adjournment of the next regular session of the Legislature which adjourns after their submission.  This committee may report out legislation it deems necessary to clarify legislative intent regarding rules adopted pursuant to this subarticle.</w:t>
      </w:r>
      <w:r>
        <w:t xml:space="preserve">  </w:t>
      </w:r>
      <w:r xmlns:wp="http://schemas.openxmlformats.org/drawingml/2010/wordprocessingDrawing" xmlns:w15="http://schemas.microsoft.com/office/word/2012/wordml">
        <w:rPr>
          <w:rFonts w:ascii="Arial" w:hAnsi="Arial" w:cs="Arial"/>
          <w:sz w:val="22"/>
          <w:szCs w:val="22"/>
        </w:rPr>
        <w:t xml:space="preserve">[PL 1985, c. 698,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§637.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§637.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