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655</w:t>
        <w:t xml:space="preserve">.  </w:t>
      </w:r>
      <w:r>
        <w:rPr>
          <w:b/>
        </w:rPr>
        <w:t xml:space="preserve">--damages for flowing or diversion; limitations</w:t>
      </w:r>
    </w:p>
    <w:p>
      <w:pPr>
        <w:jc w:val="both"/>
        <w:spacing w:before="100" w:after="100"/>
        <w:ind w:start="360"/>
        <w:ind w:firstLine="360"/>
      </w:pPr>
      <w:r>
        <w:rPr/>
      </w:r>
      <w:r>
        <w:rPr/>
      </w:r>
      <w:r>
        <w:t xml:space="preserve">Any person whose lands are damaged by being flowed by a milldam, or by the diversion of the water by such canal, may obtain compensation for the injury, by complaint to the Superior Court in the county where any part of the lands are; but no compensation shall be awarded for damages sustained more than 3 years before the institution of the complaint.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§655. --damages for flowing or diversion;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§655. --damages for flowing or diversion;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§655. --DAMAGES FOR FLOWING OR DIVERSION;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