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714</w:t>
        <w:t xml:space="preserve">.  </w:t>
      </w:r>
      <w:r>
        <w:rPr>
          <w:b/>
        </w:rPr>
        <w:t xml:space="preserve">Execution sale of land and mill</w:t>
      </w:r>
    </w:p>
    <w:p>
      <w:pPr>
        <w:jc w:val="both"/>
        <w:spacing w:before="100" w:after="100"/>
        <w:ind w:start="360"/>
        <w:ind w:firstLine="360"/>
      </w:pPr>
      <w:r>
        <w:rPr/>
      </w:r>
      <w:r>
        <w:rPr/>
      </w:r>
      <w:r>
        <w:t xml:space="preserve">The execution on such judgment, if not paid, may at any time within 30 days be levied on the premises subject to the lien. The officer may sell the same at public auction, or so much thereof in common with the residue as is necessary to satisfy the execution, proceeding in giving notice of such sale as in selling an equity of redemption on execution. Such sale is effectual against all persons claiming the premises by any title which accrued within the time covered by the lien.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§714. Execution sale of land and mill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§714. Execution sale of land and mill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§714. EXECUTION SALE OF LAND AND MILL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