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--redemption</w:t>
      </w:r>
    </w:p>
    <w:p>
      <w:pPr>
        <w:jc w:val="both"/>
        <w:spacing w:before="100" w:after="100"/>
        <w:ind w:start="360"/>
        <w:ind w:firstLine="360"/>
      </w:pPr>
      <w:r>
        <w:rPr/>
      </w:r>
      <w:r>
        <w:rPr/>
      </w:r>
      <w:r>
        <w:t xml:space="preserve">Any person entitled to the premises may redeem them within one year after the sale by paying to the purchaser, or the person holding under the purchaser, the sum paid therefor, with interest at the rate of 12%, deducting therefrom any rents and profits received by such purchaser, or person holding under the purchaser; and may have the same process to compel the purchaser to account as the person entitled to the premises might have had against a purchaser of an equity of redemption.</w:t>
      </w:r>
      <w:r>
        <w:t xml:space="preserve">  </w:t>
      </w:r>
      <w:r xmlns:wp="http://schemas.openxmlformats.org/drawingml/2010/wordprocessingDrawing" xmlns:w15="http://schemas.microsoft.com/office/word/2012/wordml">
        <w:rPr>
          <w:rFonts w:ascii="Arial" w:hAnsi="Arial" w:cs="Arial"/>
          <w:sz w:val="22"/>
          <w:szCs w:val="22"/>
        </w:rPr>
        <w:t xml:space="preserve">[RR 2021, c. 2, Pt. B, §251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§715.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