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Municipal actions on dam ownership</w:t>
      </w:r>
    </w:p>
    <w:p>
      <w:pPr>
        <w:jc w:val="both"/>
        <w:spacing w:before="100" w:after="100"/>
        <w:ind w:start="360"/>
        <w:ind w:firstLine="360"/>
      </w:pPr>
      <w:r>
        <w:rPr/>
      </w:r>
      <w:r>
        <w:rPr/>
      </w:r>
      <w:r>
        <w:t xml:space="preserve">The municipal legislative body, as defined in </w:t>
      </w:r>
      <w:r>
        <w:t>Title 30‑A, section 2001</w:t>
      </w:r>
      <w:r>
        <w:t xml:space="preserve">, of any municipality notified pursuant to </w:t>
      </w:r>
      <w:r>
        <w:t>section 901, subsection 2</w:t>
      </w:r>
      <w:r>
        <w:t xml:space="preserve"> must consider and act on the issue of dam ownership at a public meeting.  The meeting must be held no later than 60 days after the municipal officers receive notice under </w:t>
      </w:r>
      <w:r>
        <w:t>section 901</w:t>
      </w:r>
      <w:r>
        <w:t xml:space="preserve">.  County commissioners notified under section 901 must also hold a public meeting to act on the issue of dam ownership not later than 60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Municipal actions on dam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Municipal actions on dam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§908. MUNICIPAL ACTIONS ON DAM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