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Technical assistance</w:t>
      </w:r>
    </w:p>
    <w:p>
      <w:pPr>
        <w:jc w:val="both"/>
        <w:spacing w:before="100" w:after="100"/>
        <w:ind w:start="360"/>
        <w:ind w:firstLine="360"/>
      </w:pPr>
      <w:r>
        <w:rPr/>
      </w:r>
      <w:r>
        <w:rPr/>
      </w:r>
      <w:r>
        <w:t xml:space="preserve">To the extent existing resources are available, when one or more municipalities seek ownership of a dam, the Department of Agriculture, Conservation and Forestry may provide grants and technical assistance to the participating municipality or municipalities or to regional planning organizations.</w:t>
      </w:r>
      <w:r>
        <w:t xml:space="preserve">  </w:t>
      </w:r>
      <w:r xmlns:wp="http://schemas.openxmlformats.org/drawingml/2010/wordprocessingDrawing" xmlns:w15="http://schemas.microsoft.com/office/word/2012/wordml">
        <w:rPr>
          <w:rFonts w:ascii="Arial" w:hAnsi="Arial" w:cs="Arial"/>
          <w:sz w:val="22"/>
          <w:szCs w:val="22"/>
        </w:rPr>
        <w:t xml:space="preserve">[PL 2011, c. 655, Pt. JJ, §34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§4 (NEW). PL 1997, c. 789, §5 (AFF). PL 2011, c. 655, Pt. JJ, §34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§909.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§909.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