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Authorization required</w:t>
      </w:r>
    </w:p>
    <w:p>
      <w:pPr>
        <w:jc w:val="both"/>
        <w:spacing w:before="100" w:after="100"/>
        <w:ind w:start="360"/>
        <w:ind w:firstLine="360"/>
      </w:pPr>
      <w:r>
        <w:rPr/>
      </w:r>
      <w:r>
        <w:rPr/>
      </w:r>
      <w:r>
        <w:t xml:space="preserve">Any person, firm or corporation authorized and empowered to augment stored water by pumping or otherwise under </w:t>
      </w:r>
      <w:r>
        <w:t>section 931</w:t>
      </w:r>
      <w:r>
        <w:t xml:space="preserve"> and acquire by eminent domain for public uses, lands and rights-of-way for pipes, conduits, penstocks, tunnels and canals under </w:t>
      </w:r>
      <w:r>
        <w:t>section 932</w:t>
      </w:r>
      <w:r>
        <w:t xml:space="preserve"> is authorized and empowered to exercise the rights and benefits under this chapter but only when such person, firm or corporation shall have received the necessary authority by legislative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§933.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