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Intermixed logs and timber; lien for expenses; libel</w:t>
      </w:r>
    </w:p>
    <w:p>
      <w:pPr>
        <w:jc w:val="both"/>
        <w:spacing w:before="100" w:after="100"/>
        <w:ind w:start="360"/>
        <w:ind w:firstLine="360"/>
      </w:pPr>
      <w:r>
        <w:rPr/>
      </w:r>
      <w:r>
        <w:rPr/>
      </w:r>
      <w:r>
        <w:t xml:space="preserve">A person whose timber in any waters of the State is so intermixed with the logs, masts or spars of another that it cannot be conveniently separated for the purpose of being floated to the market or place of manufacture may drive all timber with which the person's own is so intermixed toward such market or place, when no special and different provision is made by law for driving it; and is entitled to a reasonable compensation from the owner, to be recovered after demand therefor on the owner or agent, if known, in a civil action. The person authorized to drive the timber under this section has a prior lien thereon until 30 days after it arrives at its place of destination to enable the person authorized to drive the timber under this section to attach it. If the owner cannot be ascertained, the property may be libeled according to law and enough of it disposed of to defray the expenses thereof, the amount to be determined by the court hearing the libel.</w:t>
      </w:r>
      <w:r>
        <w:t xml:space="preserve">  </w:t>
      </w:r>
      <w:r xmlns:wp="http://schemas.openxmlformats.org/drawingml/2010/wordprocessingDrawing" xmlns:w15="http://schemas.microsoft.com/office/word/2012/wordml">
        <w:rPr>
          <w:rFonts w:ascii="Arial" w:hAnsi="Arial" w:cs="Arial"/>
          <w:sz w:val="22"/>
          <w:szCs w:val="22"/>
        </w:rPr>
        <w:t xml:space="preserve">[RR 2021, c. 2, Pt. B, §262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§975. Intermixed logs and timber; lien for expenses; libel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Intermixed logs and timber; lien for expenses; libel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§975. INTERMIXED LOGS AND TIMBER; LIEN FOR EXPENSES; LIBEL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