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977</w:t>
        <w:t xml:space="preserve">.  </w:t>
      </w:r>
      <w:r>
        <w:rPr>
          <w:b/>
        </w:rPr>
        <w:t xml:space="preserve">Owner may remove on tender of damages; damages for landowner</w:t>
      </w:r>
    </w:p>
    <w:p>
      <w:pPr>
        <w:jc w:val="both"/>
        <w:spacing w:before="100" w:after="100"/>
        <w:ind w:start="360"/>
        <w:ind w:firstLine="360"/>
      </w:pPr>
      <w:r>
        <w:rPr/>
      </w:r>
      <w:r>
        <w:rPr/>
      </w:r>
      <w:r>
        <w:t xml:space="preserve">The owner of said timber may enter on said land and remove it at any time before forfeiture, having previously tendered to the owner or occupant thereof a reasonable compensation for all damages occasioned by the lodging, remaining or removal of said timber and the expense of advertising it; but if the timber is removed by the owner, or otherwise, without such tender, the owner of the land may recover, in a civil action, the damages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§977. Owner may remove on tender of damages; damages for landowner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§977. Owner may remove on tender of damages; damages for landowner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§977. OWNER MAY REMOVE ON TENDER OF DAMAGES; DAMAGES FOR LANDOWNER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