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 Disability due to radioactive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isability due to radioactive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5. DISABILITY DUE TO RADIOACTIVE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