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REPORTERS OF DECISIONS AND TESTIMONY</w:t>
      </w:r>
    </w:p>
    <w:p>
      <w:pPr>
        <w:jc w:val="center"/>
        <w:ind w:start="360"/>
        <w:spacing w:before="300" w:after="300"/>
      </w:pPr>
      <w:r>
        <w:rPr>
          <w:b/>
        </w:rPr>
        <w:t>SUBCHAPTER</w:t>
        <w:t xml:space="preserve"> </w:t>
        <w:t>1</w:t>
      </w:r>
    </w:p>
    <w:p>
      <w:pPr>
        <w:jc w:val="center"/>
        <w:ind w:start="360"/>
        <w:spacing w:before="300" w:after="300"/>
      </w:pPr>
      <w:r>
        <w:rPr>
          <w:b/>
        </w:rPr>
        <w:t xml:space="preserve">REPORTERS IN THE SUPREME AND SUPERIOR COURTS</w:t>
      </w:r>
    </w:p>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jc w:val="center"/>
        <w:ind w:start="360"/>
        <w:spacing w:before="300" w:after="300"/>
      </w:pPr>
      <w:r>
        <w:rPr>
          <w:b/>
        </w:rPr>
        <w:t>SUBCHAPTER</w:t>
        <w:t xml:space="preserve"> </w:t>
        <w:t>2</w:t>
      </w:r>
    </w:p>
    <w:p>
      <w:pPr>
        <w:jc w:val="center"/>
        <w:ind w:start="360"/>
        <w:spacing w:before="300" w:after="300"/>
      </w:pPr>
      <w:r>
        <w:rPr>
          <w:b/>
        </w:rPr>
        <w:t xml:space="preserve">REPORTER OF THE LAW COURT</w:t>
      </w:r>
    </w:p>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jc w:val="center"/>
        <w:ind w:start="360"/>
        <w:spacing w:before="300" w:after="300"/>
      </w:pPr>
      <w:r>
        <w:rPr>
          <w:b/>
        </w:rPr>
        <w:t>SUBCHAPTER</w:t>
        <w:t xml:space="preserve"> </w:t>
        <w:t>3</w:t>
      </w:r>
    </w:p>
    <w:p>
      <w:pPr>
        <w:jc w:val="center"/>
        <w:ind w:start="360"/>
        <w:spacing w:before="300" w:after="300"/>
      </w:pPr>
      <w:r>
        <w:rPr>
          <w:b/>
        </w:rPr>
        <w:t xml:space="preserve">REPORTERS AND TRANSCRIPTS IN PROBATE COURT</w:t>
      </w:r>
    </w:p>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jc w:val="center"/>
        <w:ind w:start="360"/>
        <w:spacing w:before="300" w:after="300"/>
      </w:pPr>
      <w:r>
        <w:rPr>
          <w:b/>
        </w:rPr>
        <w:t>SUBCHAPTER</w:t>
        <w:t xml:space="preserve"> </w:t>
        <w:t>4</w:t>
      </w:r>
    </w:p>
    <w:p>
      <w:pPr>
        <w:jc w:val="center"/>
        <w:ind w:start="360"/>
        <w:spacing w:before="300" w:after="300"/>
      </w:pPr>
      <w:r>
        <w:rPr>
          <w:b/>
        </w:rPr>
        <w:t xml:space="preserve">GENERAL PROVISIONS; ETHICAL STANDARDS</w:t>
      </w:r>
    </w:p>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776</w:t>
        <w:t xml:space="preserve">.  </w:t>
      </w:r>
      <w:r>
        <w:rPr>
          <w:b/>
        </w:rPr>
        <w:t xml:space="preserve">Exception; governmental entities</w:t>
      </w:r>
    </w:p>
    <w:p>
      <w:pPr>
        <w:jc w:val="both"/>
        <w:spacing w:before="100" w:after="100"/>
        <w:ind w:start="360"/>
        <w:ind w:firstLine="360"/>
      </w:pPr>
      <w:r>
        <w:rPr/>
      </w:r>
      <w:r>
        <w:rPr/>
      </w:r>
      <w:r>
        <w:t xml:space="preserve">Notwithstanding  </w:t>
      </w:r>
      <w:r>
        <w:t>section 773</w:t>
      </w:r>
      <w:r>
        <w:t xml:space="preserve">, if authorized or required by law, ordinance or rule, a governmental entity may obtain court reporting services on a long-term basis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778</w:t>
        <w:t xml:space="preserve">.  </w:t>
      </w:r>
      <w:r>
        <w:rPr>
          <w:b/>
        </w:rPr>
        <w:t xml:space="preserve">Remedies</w:t>
      </w:r>
    </w:p>
    <w:p>
      <w:pPr>
        <w:jc w:val="both"/>
        <w:spacing w:before="100" w:after="0"/>
        <w:ind w:start="360"/>
        <w:ind w:firstLine="360"/>
      </w:pPr>
      <w:r>
        <w:rPr>
          <w:b/>
        </w:rPr>
        <w:t>1</w:t>
        <w:t xml:space="preserve">.  </w:t>
      </w:r>
      <w:r>
        <w:rPr>
          <w:b/>
        </w:rPr>
        <w:t xml:space="preserve">Motion.</w:t>
        <w:t xml:space="preserve"> </w:t>
      </w:r>
      <w:r>
        <w:t xml:space="preserve"> </w:t>
      </w:r>
      <w:r>
        <w:t xml:space="preserve">A party may file a motion alleging a violation of this subchapter with the administrative body, court or administrative tribunal in which the action upon which the motion is based is pending or scheduled to be heard. A person need not commence a separate action to allege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Sanction.</w:t>
        <w:t xml:space="preserve"> </w:t>
      </w:r>
      <w:r>
        <w:t xml:space="preserve"> </w:t>
      </w:r>
      <w:r>
        <w:t xml:space="preserve">In addition to remedies that are otherwise available by law, an administrative body, court or administrative tribunal that receives a motion filed pursuant to this section and determines that a person violated this subchapter may refuse to admit the contested transcript and may bar the person from providing services in matters before that administrative body, court or administrative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REPORTERS OF DECISIONS AND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REPORTERS OF DECISIONS AND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15. REPORTERS OF DECISIONS AND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