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§47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§7 (NEW). PL 2007, c. 491,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