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the member has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§4 (AMD).]</w:t>
      </w:r>
    </w:p>
    <w:p>
      <w:pPr>
        <w:jc w:val="both"/>
        <w:spacing w:before="100" w:after="0"/>
        <w:ind w:start="360"/>
        <w:ind w:firstLine="360"/>
      </w:pPr>
      <w:r>
        <w:rPr>
          <w:b/>
        </w:rPr>
        <w:t>1</w:t>
        <w:t xml:space="preserve">.  </w:t>
      </w:r>
      <w:r>
        <w:rPr>
          <w:b/>
        </w:rPr>
        <w:t xml:space="preserve">Death before eligibility for service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2</w:t>
        <w:t xml:space="preserve">.  </w:t>
      </w:r>
      <w:r>
        <w:rPr>
          <w:b/>
        </w:rPr>
        <w:t xml:space="preserve">Death after eligibility for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4</w:t>
        <w:t xml:space="preserve">.  </w:t>
      </w:r>
      <w:r>
        <w:rPr>
          <w:b/>
        </w:rPr>
        <w:t xml:space="preserve">Cost-of-living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§§B28-30,B45 (AMD). PL 1989, c. 133, §30 (RPR). PL 2007, c. 58, §3 (REV). PL 2007, c. 491, §52 (AMD). PL 2021, c. 548,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§1355. Ordinary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Ordinary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§1355. ORDINARY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