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w:t>
        <w:t xml:space="preserve">.  </w:t>
      </w:r>
      <w:r>
        <w:rPr>
          <w:b/>
        </w:rPr>
        <w:t xml:space="preserve">Administrative search warrants</w:t>
      </w:r>
    </w:p>
    <w:p>
      <w:pPr>
        <w:jc w:val="both"/>
        <w:spacing w:before="100" w:after="100"/>
        <w:ind w:start="360"/>
        <w:ind w:firstLine="360"/>
      </w:pPr>
      <w:r>
        <w:rPr/>
      </w:r>
      <w:r>
        <w:rPr/>
      </w:r>
      <w:r>
        <w:t xml:space="preserve">A District Court Judge may issue warrants to conduct administrative searches in such manner, for such purposes and under such circumstances as the Supreme Judicial Court shall by rule provide.</w:t>
      </w:r>
      <w:r>
        <w:t xml:space="preserve">  </w:t>
      </w:r>
      <w:r xmlns:wp="http://schemas.openxmlformats.org/drawingml/2010/wordprocessingDrawing" xmlns:w15="http://schemas.microsoft.com/office/word/2012/wordml">
        <w:rPr>
          <w:rFonts w:ascii="Arial" w:hAnsi="Arial" w:cs="Arial"/>
          <w:sz w:val="22"/>
          <w:szCs w:val="22"/>
        </w:rPr>
        <w:t xml:space="preserve">[PL 1973, c. 486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§179. Administrative search warrants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 Administrative search warrants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§179. ADMINISTRATIVE SEARCH WARRANTS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