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w:t>
        <w:t xml:space="preserve">.  </w:t>
      </w:r>
      <w:r>
        <w:rPr>
          <w:b/>
        </w:rPr>
        <w:t xml:space="preserve">County law libraries</w:t>
      </w:r>
    </w:p>
    <w:p>
      <w:pPr>
        <w:jc w:val="both"/>
        <w:spacing w:before="100" w:after="100"/>
        <w:ind w:start="360"/>
        <w:ind w:firstLine="360"/>
      </w:pPr>
      <w:r>
        <w:rPr/>
      </w:r>
      <w:r>
        <w:rPr/>
      </w:r>
      <w:r>
        <w:t xml:space="preserve">There must be a County Law Library Committee in each county in which a county law library is located. The members of the committee must be appointed or elected by the county bar association, or other governing body, as its bylaws may provide. Membership on the committee need not be restricted to attorneys. The County Law Library Committee shall appoint a chair, a treasurer and a clerk.</w:t>
      </w:r>
      <w:r>
        <w:t xml:space="preserve">  </w:t>
      </w:r>
      <w:r xmlns:wp="http://schemas.openxmlformats.org/drawingml/2010/wordprocessingDrawing" xmlns:w15="http://schemas.microsoft.com/office/word/2012/wordml">
        <w:rPr>
          <w:rFonts w:ascii="Arial" w:hAnsi="Arial" w:cs="Arial"/>
          <w:sz w:val="22"/>
          <w:szCs w:val="22"/>
        </w:rPr>
        <w:t xml:space="preserve">[PL 2001, c. 250,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PL 2001, c. 250,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 County law libraries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 County law libraries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§195. COUNTY LAW LIBRARIES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