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§202. OATHS AND ACKNOWLEDGMENTS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