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Denial of charges; information to stand for hearing</w:t>
      </w:r>
    </w:p>
    <w:p>
      <w:pPr>
        <w:jc w:val="both"/>
        <w:spacing w:before="100" w:after="100"/>
        <w:ind w:start="360"/>
        <w:ind w:firstLine="360"/>
      </w:pPr>
      <w:r>
        <w:rPr/>
      </w:r>
      <w:r>
        <w:rPr/>
      </w:r>
      <w:r>
        <w:t xml:space="preserve">If the attorney on whom such service has been made, on or before said return day files in the office of the clerk of courts in said county of return a denial of the charges specified in the information, the information shall thereupon stand upon the docket for hearing at such time and place as said justice shall order, upon such lawful evidence as may be produced either by the State or by the respondent.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Denial of charges; information to stand for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Denial of charges; information to stand for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§852. DENIAL OF CHARGES; INFORMATION TO STAND FOR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