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False advertising or representation to be an attorney</w:t>
      </w:r>
    </w:p>
    <w:p>
      <w:pPr>
        <w:jc w:val="both"/>
        <w:spacing w:before="100" w:after="100"/>
        <w:ind w:start="360"/>
        <w:ind w:firstLine="360"/>
      </w:pPr>
      <w:r>
        <w:rPr/>
      </w:r>
      <w:r>
        <w:rPr/>
      </w:r>
      <w:r>
        <w:t xml:space="preserve">If a person who has not been admitted to practice law in this State or whose name has been struck from the roll of attorneys advertises as or represents that person to be an attorney or counselor at law, that person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1,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 (RPR). RR 2021, c. 1, Pt. B,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§859. False advertising or representation to be an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False advertising or representation to be an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§859. FALSE ADVERTISING OR REPRESENTATION TO BE AN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