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OFFICERS AND EMPLOYEES GENERALLY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Appointment of temporary officials; removal; salary</w:t>
      </w:r>
    </w:p>
    <w:p>
      <w:pPr>
        <w:jc w:val="both"/>
        <w:spacing w:before="100" w:after="100"/>
        <w:ind w:start="360"/>
        <w:ind w:firstLine="360"/>
      </w:pPr>
      <w:r>
        <w:rPr/>
      </w:r>
      <w:r>
        <w:rPr/>
      </w:r>
      <w:r>
        <w:t xml:space="preserve">In order to provide for the uninterrupted and orderly functioning of any agency, board, commission or department of the State Government during a vacancy in the office of the appointive or elective head thereof and whenever there is no state official, deputy, assistant or other state employee duly authorized by law to exercise the powers and perform the duties of such appointive or elective head during such vacancy, the Governor is empowered to appoint a temporary deputy commissioner to exercise the powers and perform the duties of the appointive or elective head of such office during such vacancy. The term of office of such temporary deputy commissioner so appointed shall be at the pleasure of the Governor and shall not extend beyond the date of qualification of a successor to the office of appointive or elective head of such agency, board, commission or department or 60 days from the date of his appointment, whichever shall first occur. The term of office of such a temporary deputy commissioner so appointed to an office to which appointments are by law subject to confirmation by the Legislature shall be at the pleasure of the Governor and shall not extend beyond the date of qualification of a successor appointed to such office or 6 months from the date of appointment, whichever shall first occur. Such temporary deputy commissioner shall not be eligible for reappointment. Such temporary deputy commissioner shall be appointed from the personnel of the agency, board, commission or department in which such vacancy occurs.</w:t>
      </w:r>
      <w:r>
        <w:t xml:space="preserve">  </w:t>
      </w:r>
      <w:r xmlns:wp="http://schemas.openxmlformats.org/drawingml/2010/wordprocessingDrawing" xmlns:w15="http://schemas.microsoft.com/office/word/2012/wordml">
        <w:rPr>
          <w:rFonts w:ascii="Arial" w:hAnsi="Arial" w:cs="Arial"/>
          <w:sz w:val="22"/>
          <w:szCs w:val="22"/>
        </w:rPr>
        <w:t xml:space="preserve">[PL 1975, c. 771, §23 (AMD).]</w:t>
      </w:r>
    </w:p>
    <w:p>
      <w:pPr>
        <w:jc w:val="both"/>
        <w:spacing w:before="100" w:after="100"/>
        <w:ind w:start="360"/>
        <w:ind w:firstLine="360"/>
      </w:pPr>
      <w:r>
        <w:rPr/>
      </w:r>
      <w:r>
        <w:rPr/>
      </w:r>
      <w:r>
        <w:t xml:space="preserve">During the term of such appointment, the temporary deputy commissioner shall be paid a salary to be determined by the Governor but not to exceed that received by the appointive or elective head at the termination of his services with the State Government.</w:t>
      </w:r>
    </w:p>
    <w:p>
      <w:pPr>
        <w:jc w:val="both"/>
        <w:spacing w:before="100" w:after="100"/>
        <w:ind w:start="360"/>
        <w:ind w:firstLine="360"/>
      </w:pPr>
      <w:r>
        <w:rPr/>
      </w:r>
      <w:r>
        <w:rPr/>
      </w:r>
      <w:r>
        <w:t xml:space="preserve">In the event an employee in the classified service of the State Government is appointed as a temporary deputy commissioner he shall, during the term of his appointment as temporary deputy commissioner, retain all of the rights and all of the retirement benefits to which he may be entitled as a classified employee of the State Government.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 (AMD). </w:t>
      </w:r>
    </w:p>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jc w:val="both"/>
        <w:spacing w:before="100" w:after="100"/>
        <w:ind w:start="1080" w:hanging="720"/>
      </w:pPr>
      <w:r>
        <w:rPr>
          <w:b/>
        </w:rPr>
        <w:t>§</w:t>
        <w:t>5</w:t>
        <w:t xml:space="preserve">.  </w:t>
      </w:r>
      <w:r>
        <w:rPr>
          <w:b/>
        </w:rPr>
        <w:t xml:space="preserve">Oath of office; before whom taken</w:t>
      </w:r>
    </w:p>
    <w:p>
      <w:pPr>
        <w:jc w:val="both"/>
        <w:spacing w:before="100" w:after="100"/>
        <w:ind w:start="360"/>
        <w:ind w:firstLine="360"/>
      </w:pPr>
      <w:r>
        <w:rPr/>
      </w:r>
      <w:r>
        <w:rPr/>
      </w:r>
      <w:r>
        <w:t xml:space="preserve">The Justices of the Supreme Judicial Court and of the Superior Court, the Judges of the District Court and all state officials elected by the Legislature shall take and subscribe the oath or affirmation required by the Constitution, before the Governor.  Every other person elected or appointed to any civil office shall take and subscribe the oath before any dedimus justice commissioned by the Governor for that purpose, except when the Constitution otherwise provides.  A newly appointed notary public shall take and subscribe the oath or affirmation before a dedimus justice as required by </w:t>
      </w:r>
      <w:r>
        <w:t>Title 4, section 1922,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§5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§27 (RPR). PL 1987, c. 736, §4 (AMD). PL 2001, c. 667, §C1 (AMD). PL 2009, c. 74, §2 (AMD). PL 2021, c. 651, Pt. A, §5 (AMD). PL 2021, c. 651, Pt. A, §8 (AFF). </w:t>
      </w:r>
    </w:p>
    <w:p>
      <w:pPr>
        <w:jc w:val="both"/>
        <w:spacing w:before="100" w:after="100"/>
        <w:ind w:start="1080" w:hanging="720"/>
      </w:pPr>
      <w:r>
        <w:rPr>
          <w:b/>
        </w:rPr>
        <w:t>§</w:t>
        <w:t>6</w:t>
        <w:t xml:space="preserve">.  </w:t>
      </w:r>
      <w:r>
        <w:rPr>
          <w:b/>
        </w:rPr>
        <w:t xml:space="preserve">Officials have 30 days to qualify</w:t>
      </w:r>
    </w:p>
    <w:p>
      <w:pPr>
        <w:jc w:val="both"/>
        <w:spacing w:before="100" w:after="100"/>
        <w:ind w:start="360"/>
        <w:ind w:firstLine="360"/>
      </w:pPr>
      <w:r>
        <w:rPr/>
      </w:r>
      <w:r>
        <w:rPr/>
      </w:r>
      <w:r>
        <w:t xml:space="preserve">All public officers appointed or renewed in accordance with law shall, within 30 days after being commissioned, qualify to perform the duties of their office and the certificate of qualification must be filed in the office of the Secretary of State.  Any officer who fails to qualify within 30 days and file a certificate of qualification in the office of the Secretary of State within 45 days must be suspended by the Secretary of State until the defect is corrected.  During this suspension, the officer may be deemed to have forfeited the appointment and the office may be declared vacant by the appointing authority and a new appointment made.</w:t>
      </w:r>
      <w:r>
        <w:t xml:space="preserve">  </w:t>
      </w:r>
      <w:r xmlns:wp="http://schemas.openxmlformats.org/drawingml/2010/wordprocessingDrawing" xmlns:w15="http://schemas.microsoft.com/office/word/2012/wordml">
        <w:rPr>
          <w:rFonts w:ascii="Arial" w:hAnsi="Arial" w:cs="Arial"/>
          <w:sz w:val="22"/>
          <w:szCs w:val="22"/>
        </w:rPr>
        <w:t xml:space="preserve">[PL 1991, c. 837,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§1 (AMD). PL 1975, c. 771, §28 (AMD). PL 1981, c. 456, §A14 (AMD). PL 1991, c. 837, §A7 (AMD). </w:t>
      </w:r>
    </w:p>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that department or commission.  The policy must include, but not be limited to, a definition of the use of state-owned motor vehicles that constitutes use in the conduct of state business and that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[RR 2023, c. 2, Pt. B, §1 (COR).]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RR 2023, c. 2, Pt. B, §1 (COR). </w:t>
      </w:r>
    </w:p>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must be reviewed periodically by the state department involved, and the provision of any such housing facilities must be terminated whenever the above stated criteria are met. Except as otherwise provided, in each instance of the provision of housing facilities by the State, a rental charge must be made to cover the total operating cost of any such facility. These costs must include, but not be limited to, rates charged to the State, in operating such facility, for water, electricity, heat, telephone and furnishings and any other maintenance costs. Such costs may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 facility used on a seasonal basis must be partially exempt from rental charges, at the discretion of the department. A charge may not be made for the provision of housing facilities when the state employee involved is required as a condition of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[RR 2023,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RR 2023, c. 2, Pt. B, §2 (COR). </w:t>
      </w:r>
    </w:p>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A charge may not be made for the provision of meals to any state employee who eats such meals within the scope of employment and in so doing serves a function of that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RR 2023, c. 2, Pt. B, §3 (COR). </w:t>
      </w:r>
    </w:p>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8-F</w:t>
        <w:t xml:space="preserve">.  </w:t>
      </w:r>
      <w:r>
        <w:rPr>
          <w:b/>
        </w:rPr>
        <w:t xml:space="preserve">Rules and regulations; review</w:t>
      </w:r>
    </w:p>
    <w:p>
      <w:pPr>
        <w:jc w:val="both"/>
        <w:spacing w:before="100" w:after="100"/>
        <w:ind w:start="360"/>
        <w:ind w:firstLine="360"/>
      </w:pPr>
      <w:r>
        <w:rPr/>
      </w:r>
      <w:r>
        <w:rPr/>
      </w:r>
      <w:r>
        <w:t xml:space="preserve">Each department shall establish and promulgate, subject to the approval of the State Budget Officer, rules and regulations to carry out the purposes of </w:t>
      </w:r>
      <w:r>
        <w:t>sections 8‑B</w:t>
      </w:r>
      <w:r>
        <w:t xml:space="preserve"> to </w:t>
      </w:r>
      <w:r>
        <w:t>8‑C</w:t>
      </w:r>
      <w:r>
        <w:t xml:space="preserve">. Such rules and regulations shall be transmitted to the Legislative Council for its review biennially.</w:t>
      </w:r>
      <w:r>
        <w:t xml:space="preserve">  </w:t>
      </w:r>
      <w:r xmlns:wp="http://schemas.openxmlformats.org/drawingml/2010/wordprocessingDrawing" xmlns:w15="http://schemas.microsoft.com/office/word/2012/wordml">
        <w:rPr>
          <w:rFonts w:ascii="Arial" w:hAnsi="Arial" w:cs="Arial"/>
          <w:sz w:val="22"/>
          <w:szCs w:val="22"/>
        </w:rPr>
        <w:t xml:space="preserve">[PL 1979, c. 541,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625, §15 (AMD). PL 1973, c. 788, §11 (AMD). PL 1979, c. 541, §A16 (AMD). </w:t>
      </w:r>
    </w:p>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jc w:val="both"/>
        <w:spacing w:before="100" w:after="100"/>
        <w:ind w:start="1080" w:hanging="720"/>
      </w:pPr>
      <w:r>
        <w:rPr>
          <w:b/>
        </w:rPr>
        <w:t>§</w:t>
        <w:t>8-H</w:t>
        <w:t xml:space="preserve">.  </w:t>
      </w:r>
      <w:r>
        <w:rPr>
          <w:b/>
        </w:rPr>
        <w:t xml:space="preserve">Civil violation</w:t>
      </w:r>
    </w:p>
    <w:p>
      <w:pPr>
        <w:jc w:val="both"/>
        <w:spacing w:before="100" w:after="100"/>
        <w:ind w:start="360"/>
        <w:ind w:firstLine="360"/>
      </w:pPr>
      <w:r>
        <w:rPr/>
      </w:r>
      <w:r>
        <w:rPr/>
      </w:r>
      <w:r>
        <w:t xml:space="preserve">Any violation of </w:t>
      </w:r>
      <w:r>
        <w:t>sections 8‑A</w:t>
      </w:r>
      <w:r>
        <w:t xml:space="preserve"> to </w:t>
      </w:r>
      <w:r>
        <w:t>8‑F</w:t>
      </w:r>
      <w:r>
        <w:t xml:space="preserve"> is a civil violation for which a forfeiture not to exceed $1,000 may be adjudged and any person violating any of those sections shall be dismissed from state service.</w:t>
      </w:r>
      <w:r>
        <w:t xml:space="preserve">  </w:t>
      </w:r>
      <w:r xmlns:wp="http://schemas.openxmlformats.org/drawingml/2010/wordprocessingDrawing" xmlns:w15="http://schemas.microsoft.com/office/word/2012/wordml">
        <w:rPr>
          <w:rFonts w:ascii="Arial" w:hAnsi="Arial" w:cs="Arial"/>
          <w:sz w:val="22"/>
          <w:szCs w:val="22"/>
        </w:rPr>
        <w:t xml:space="preserve">[PL 1977, c. 696,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1977, c. 696, §30 (RPR). </w:t>
      </w:r>
    </w:p>
    <w:p>
      <w:pPr>
        <w:jc w:val="both"/>
        <w:spacing w:before="100" w:after="100"/>
        <w:ind w:start="1080" w:hanging="720"/>
      </w:pPr>
      <w:r>
        <w:rPr>
          <w:b/>
        </w:rPr>
        <w:t>§</w:t>
        <w:t>8-I</w:t>
        <w:t xml:space="preserve">.  </w:t>
      </w:r>
      <w:r>
        <w:rPr>
          <w:b/>
        </w:rPr>
        <w:t xml:space="preserve">Fees and receipts</w:t>
      </w:r>
    </w:p>
    <w:p>
      <w:pPr>
        <w:jc w:val="both"/>
        <w:spacing w:before="100" w:after="100"/>
        <w:ind w:start="360"/>
        <w:ind w:firstLine="360"/>
      </w:pPr>
      <w:r>
        <w:rPr/>
      </w:r>
      <w:r>
        <w:rPr/>
      </w:r>
      <w:r>
        <w:t xml:space="preserve">All fees, charges, emoluments and other receipts of whatever nature, which may be payable to any state official or employee, excepting their lawful salaries and expenses properly payable to them, shall be credited to the General Fund or special revenue accounts as appropriate and no state official or employee shall directly or indirectly receive a private benefit or gain from the sale or distribution of any material, information or reports from state records. This section shall not apply to the sale of transcripts to the public by hearings reporters and official court reporters.</w:t>
      </w:r>
      <w:r>
        <w:t xml:space="preserve">  </w:t>
      </w:r>
      <w:r xmlns:wp="http://schemas.openxmlformats.org/drawingml/2010/wordprocessingDrawing" xmlns:w15="http://schemas.microsoft.com/office/word/2012/wordml">
        <w:rPr>
          <w:rFonts w:ascii="Arial" w:hAnsi="Arial" w:cs="Arial"/>
          <w:sz w:val="22"/>
          <w:szCs w:val="22"/>
        </w:rPr>
        <w:t xml:space="preserve">[PL 1973, c. 427 (NEW).]</w:t>
      </w:r>
    </w:p>
    <w:p>
      <w:pPr>
        <w:jc w:val="both"/>
        <w:spacing w:before="100" w:after="100"/>
        <w:ind w:start="360"/>
        <w:ind w:firstLine="360"/>
      </w:pPr>
      <w:r>
        <w:rPr/>
      </w:r>
      <w:r>
        <w:rPr/>
      </w:r>
      <w:r>
        <w:t xml:space="preserve">This section does not apply to the compensation of state employees appointed to boards and commissions in this State.  State employees and other members of state boards and commissions shall be governed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427 (NEW). PL 1985, c. 295, §1 (AMD). </w:t>
      </w:r>
    </w:p>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§3 (REV). </w:t>
      </w:r>
    </w:p>
    <w:p>
      <w:pPr>
        <w:jc w:val="both"/>
        <w:spacing w:before="100" w:after="100"/>
        <w:ind w:start="1080" w:hanging="720"/>
      </w:pPr>
      <w:r>
        <w:rPr>
          <w:b/>
        </w:rPr>
        <w:t>§</w:t>
        <w:t>17</w:t>
        <w:t xml:space="preserve">.  </w:t>
      </w:r>
      <w:r>
        <w:rPr>
          <w:b/>
        </w:rPr>
        <w:t xml:space="preserve">Payroll deduction for Maine Warden Service Relief Association</w:t>
      </w:r>
    </w:p>
    <w:p>
      <w:pPr>
        <w:jc w:val="both"/>
        <w:spacing w:before="100" w:after="100"/>
        <w:ind w:start="360"/>
        <w:ind w:firstLine="360"/>
      </w:pPr>
      <w:r>
        <w:rPr/>
      </w:r>
      <w:r>
        <w:rPr/>
      </w:r>
      <w:r>
        <w:t xml:space="preserve">The Commissioner of Administrative and Financial Services is authorized to permit payroll deductions from the salaries of state employees for membership dues for the Maine Warden Service Relief Association and to transmit the funds so collected to the Maine Warden Service Relief Association under the appropriate departmental rules concerning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 (NEW). PL 1985, c. 785, §A5 (AMD). PL 1991, c. 780, §Y7 (AMD). </w:t>
      </w:r>
    </w:p>
    <w:p>
      <w:pPr>
        <w:jc w:val="both"/>
        <w:spacing w:before="100" w:after="100"/>
        <w:ind w:start="1080" w:hanging="720"/>
      </w:pPr>
      <w:r>
        <w:rPr>
          <w:b/>
        </w:rPr>
        <w:t>§</w:t>
        <w:t>18</w:t>
        <w:t xml:space="preserve">.  </w:t>
      </w:r>
      <w:r>
        <w:rPr>
          <w:b/>
        </w:rPr>
        <w:t xml:space="preserve">Disqualification of executive employees from participation in certain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"Constitutional officers" means the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"Executive employee" means the constitutional officers, the State Auditor, members of the state boards and commissions as defined in </w:t>
      </w:r>
      <w:r>
        <w:t>chapter 379</w:t>
      </w:r>
      <w:r>
        <w:t xml:space="preserve"> and compensated members of the classified or unclassified service employed by the Executive Branch, but it does not include:</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Employees of and members serving with the National Guard;</w:t>
      </w:r>
    </w:p>
    <w:p>
      <w:pPr>
        <w:jc w:val="both"/>
        <w:spacing w:before="100" w:after="0"/>
        <w:ind w:start="1080"/>
      </w:pPr>
      <w:r>
        <w:rPr/>
        <w:t>(</w:t>
        <w:t>3</w:t>
        <w:t xml:space="preserve">)  </w:t>
      </w:r>
      <w:r>
        <w:rPr/>
      </w:r>
      <w:r>
        <w:t xml:space="preserve">Employees of the University of Maine System, the Maine Maritime Academy and the Maine Community College System;</w:t>
      </w:r>
    </w:p>
    <w:p>
      <w:pPr>
        <w:jc w:val="both"/>
        <w:spacing w:before="100" w:after="0"/>
        <w:ind w:start="1080"/>
      </w:pPr>
      <w:r>
        <w:rPr/>
        <w:t>(</w:t>
        <w:t>4</w:t>
        <w:t xml:space="preserve">)  </w:t>
      </w:r>
      <w:r>
        <w:rPr/>
      </w:r>
      <w:r>
        <w:t xml:space="preserve">Employees who are employees solely by their appointment to an advisory body;</w:t>
      </w:r>
    </w:p>
    <w:p>
      <w:pPr>
        <w:jc w:val="both"/>
        <w:spacing w:before="100" w:after="0"/>
        <w:ind w:start="1080"/>
      </w:pPr>
      <w:r>
        <w:rPr/>
        <w:t>(</w:t>
        <w:t>5</w:t>
        <w:t xml:space="preserve">)  </w:t>
      </w:r>
      <w:r>
        <w:rPr/>
      </w:r>
      <w:r>
        <w:t xml:space="preserve">Members of boards listed in </w:t>
      </w:r>
      <w:r>
        <w:t>chapter 379</w:t>
      </w:r>
      <w:r>
        <w:t xml:space="preserve">, who are required by law to represent a specific interest, except as otherwise provided by law; and</w:t>
      </w:r>
    </w:p>
    <w:p>
      <w:pPr>
        <w:jc w:val="both"/>
        <w:spacing w:before="100" w:after="0"/>
        <w:ind w:start="1080"/>
      </w:pPr>
      <w:r>
        <w:rPr/>
        <w:t>(</w:t>
        <w:t>6</w:t>
        <w:t xml:space="preserve">)  </w:t>
      </w:r>
      <w:r>
        <w:rPr/>
      </w:r>
      <w:r>
        <w:t xml:space="preserve">Members of advisory boards as listed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179, §1 (AMD).]</w:t>
      </w:r>
    </w:p>
    <w:p>
      <w:pPr>
        <w:jc w:val="both"/>
        <w:spacing w:before="100" w:after="0"/>
        <w:ind w:start="720"/>
      </w:pPr>
      <w:r>
        <w:rPr/>
        <w:t>C</w:t>
        <w:t xml:space="preserve">.  </w:t>
      </w:r>
      <w:r>
        <w:rPr/>
      </w:r>
      <w:r>
        <w:t xml:space="preserve">"Participate in an official capacity" means to take part in reaching a decision or recommendation in a proceeding that is within the authority of the position held by an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§4 (COR).]</w:t>
      </w:r>
    </w:p>
    <w:p>
      <w:pPr>
        <w:jc w:val="both"/>
        <w:spacing w:before="100" w:after="0"/>
        <w:ind w:start="720"/>
      </w:pPr>
      <w:r>
        <w:rPr/>
        <w:t>D</w:t>
        <w:t xml:space="preserve">.  </w:t>
      </w:r>
      <w:r>
        <w:rPr/>
      </w:r>
      <w:r>
        <w:t xml:space="preserve">"Proceeding" means a proceeding, application, request, ruling, determination, award, contract, claim, controversy, charge, accusation, arrest or other matter relating to governmental action or inaction, but does not include an employee organization bid or contract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§1 (AMD).]</w:t>
      </w:r>
    </w:p>
    <w:p>
      <w:pPr>
        <w:jc w:val="both"/>
        <w:spacing w:before="100" w:after="0"/>
        <w:ind w:start="720"/>
      </w:pPr>
      <w:r>
        <w:rPr/>
        <w:t>E</w:t>
        <w:t xml:space="preserve">.  </w:t>
      </w:r>
      <w:r>
        <w:rPr/>
      </w:r>
      <w:r>
        <w:t xml:space="preserve">"Participates in the legislative process" means to provide any information concerning pending legislation to a legislative committee, subcommittee or study or working group, whether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1999, c. 242,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 (COR).]</w:t>
      </w:r>
    </w:p>
    <w:p>
      <w:pPr>
        <w:jc w:val="both"/>
        <w:spacing w:before="100" w:after="100"/>
        <w:ind w:start="360"/>
        <w:ind w:firstLine="360"/>
      </w:pPr>
      <w:r>
        <w:rPr>
          <w:b/>
        </w:rPr>
        <w:t>2</w:t>
        <w:t xml:space="preserve">.  </w:t>
      </w:r>
      <w:r>
        <w:rPr>
          <w:b/>
        </w:rPr>
        <w:t xml:space="preserve">Executive employee.</w:t>
        <w:t xml:space="preserve"> </w:t>
      </w:r>
      <w:r>
        <w:t xml:space="preserve"> </w:t>
      </w:r>
      <w:r>
        <w:t xml:space="preserve">An executive employee commits a civil violation if the executive employee personally and substantially participates in an official capacity in any proceeding in which, to the executive employee's knowledge, any of the following have a direct and substantial financial interest:</w:t>
      </w:r>
    </w:p>
    <w:p>
      <w:pPr>
        <w:jc w:val="both"/>
        <w:spacing w:before="100" w:after="0"/>
        <w:ind w:start="720"/>
      </w:pPr>
      <w:r>
        <w:rPr/>
        <w:t>A</w:t>
        <w:t xml:space="preserve">.  </w:t>
      </w:r>
      <w:r>
        <w:rPr/>
      </w:r>
      <w:r>
        <w:t xml:space="preserve">The executive employee or the executive employee's spouse or dependent children;</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B</w:t>
        <w:t xml:space="preserve">.  </w:t>
      </w:r>
      <w:r>
        <w:rPr/>
      </w:r>
      <w:r>
        <w:t xml:space="preserve">The executive employee's partners;</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C</w:t>
        <w:t xml:space="preserve">.  </w:t>
      </w:r>
      <w:r>
        <w:rPr/>
      </w:r>
      <w:r>
        <w:t xml:space="preserve">A person or organization with whom the executive employee is negotiating or has agreed to an arrangement concerning prospective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D</w:t>
        <w:t xml:space="preserve">.  </w:t>
      </w:r>
      <w:r>
        <w:rPr/>
      </w:r>
      <w:r>
        <w:t xml:space="preserve">An organization in which the executive employee has a direct and substantial financial interest; or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E</w:t>
        <w:t xml:space="preserve">.  </w:t>
      </w:r>
      <w:r>
        <w:rPr/>
      </w:r>
      <w:r>
        <w:t xml:space="preserve">A person with whom the executive employee has been associated as a partner or a fellow shareholder in a professional service corporation pursuant to Title 13, chapter 22‑A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 (COR).]</w:t>
      </w:r>
    </w:p>
    <w:p>
      <w:pPr>
        <w:jc w:val="both"/>
        <w:spacing w:before="100" w:after="0"/>
        <w:ind w:start="360"/>
        <w:ind w:firstLine="360"/>
      </w:pPr>
      <w:r>
        <w:rPr>
          <w:b/>
        </w:rPr>
        <w:t>2-A</w:t>
        <w:t xml:space="preserve">.  </w:t>
      </w:r>
      <w:r>
        <w:rPr>
          <w:b/>
        </w:rPr>
        <w:t xml:space="preserve">Participation in legislative process.</w:t>
        <w:t xml:space="preserve"> </w:t>
      </w:r>
      <w:r>
        <w:t xml:space="preserve"> </w:t>
      </w:r>
      <w:r>
        <w:t xml:space="preserve">An executive employee commits a civil violation if the employee participates in the legislative process in the employee's official capacity concerning any legislation in which any person described in </w:t>
      </w:r>
      <w:r>
        <w:t>subsection 2, paragraphs A</w:t>
      </w:r>
      <w:r>
        <w:t xml:space="preserve"> to </w:t>
      </w:r>
      <w:r>
        <w:t>E</w:t>
      </w:r>
      <w:r>
        <w:t xml:space="preserve"> has any direct and substantial financial interest unless the employee discloses that interest at the time of the employee's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§2 (NEW).]</w:t>
      </w:r>
    </w:p>
    <w:p>
      <w:pPr>
        <w:jc w:val="both"/>
        <w:spacing w:before="100" w:after="100"/>
        <w:ind w:start="360"/>
        <w:ind w:firstLine="360"/>
      </w:pPr>
      <w:r>
        <w:rPr>
          <w:b/>
        </w:rPr>
        <w:t>3</w:t>
        <w:t xml:space="preserve">.  </w:t>
      </w:r>
      <w:r>
        <w:rPr>
          <w:b/>
        </w:rPr>
        <w:t xml:space="preserve">Former executive employee.</w:t>
        <w:t xml:space="preserve"> </w:t>
      </w:r>
      <w:r>
        <w:t xml:space="preserve"> </w:t>
      </w:r>
      <w:r>
        <w:t xml:space="preserve">Former executive employees shall be subject to the provisions in this subsection with respect to proceedings in which the State is a party or has a direct and substantial interest.</w:t>
      </w:r>
    </w:p>
    <w:p>
      <w:pPr>
        <w:jc w:val="both"/>
        <w:spacing w:before="100" w:after="0"/>
        <w:ind w:start="720"/>
      </w:pPr>
      <w:r>
        <w:rPr/>
        <w:t>A</w:t>
        <w:t xml:space="preserve">.  </w:t>
      </w:r>
      <w:r>
        <w:rPr/>
      </w:r>
      <w:r>
        <w:t xml:space="preserve">No former executive employee may knowingly act as an agent or attorney for, or appear personally before, a state or quasi-state agency for anyone other than the State for a one-year period following termination of the employee's employment with the agency or quasi-state agency in connection with a proceeding in which the specific issue was pending before the executive employee's agency and was directly within the responsibilities of the employee during a period terminating at least 12 months prior to the termination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w:pPr>
        <w:jc w:val="both"/>
        <w:spacing w:before="100" w:after="0"/>
        <w:ind w:start="720"/>
      </w:pPr>
      <w:r>
        <w:rPr/>
        <w:t>B</w:t>
        <w:t xml:space="preserve">.  </w:t>
      </w:r>
      <w:r>
        <w:rPr/>
      </w:r>
      <w:r>
        <w:t xml:space="preserve">No former executive employee may knowingly act as an agent or attorney for, or appear personally before, a state or quasi-state agency for anyone other than the State at any time following termination of the employee's employment with the agency or quasi-state agency in connection with a proceeding in which the specific issue was pending before the executive employee's agency and was directly within the responsibilities of the executive employee during the 12-month period immediately preceding the termination of the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§2 (RPR).]</w:t>
      </w:r>
    </w:p>
    <w:p>
      <w:pPr>
        <w:jc w:val="both"/>
        <w:spacing w:before="100" w:after="0"/>
        <w:ind w:start="360"/>
        <w:ind w:firstLine="360"/>
      </w:pPr>
      <w:r>
        <w:rPr>
          <w:b/>
        </w:rPr>
        <w:t>4</w:t>
        <w:t xml:space="preserve">.  </w:t>
      </w:r>
      <w:r>
        <w:rPr>
          <w:b/>
        </w:rPr>
        <w:t xml:space="preserve">Construction of section.</w:t>
        <w:t xml:space="preserve"> </w:t>
      </w:r>
      <w:r>
        <w:t xml:space="preserve"> </w:t>
      </w:r>
      <w:r>
        <w:t xml:space="preserve">This section may not be construed to prohibit former state employees from doing personal business with the State. This section shall not limit the application of any provisions of </w:t>
      </w:r>
      <w:r>
        <w:t>Title 17‑A,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this section is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6</w:t>
        <w:t xml:space="preserve">.  </w:t>
      </w:r>
      <w:r>
        <w:rPr>
          <w:b/>
        </w:rPr>
        <w:t xml:space="preserve">Application of more stringent statutory provisions.</w:t>
        <w:t xml:space="preserve"> </w:t>
      </w:r>
      <w:r>
        <w:t xml:space="preserve"> </w:t>
      </w:r>
      <w:r>
        <w:t xml:space="preserve">If other statutory conflict of interest provisions pertaining to any state agency, quasi-state agency or state board are more stringent than the provisions in this section, the more stringent provisions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§3 (NEW).]</w:t>
      </w:r>
    </w:p>
    <w:p>
      <w:pPr>
        <w:jc w:val="both"/>
        <w:spacing w:before="100" w:after="0"/>
        <w:ind w:start="360"/>
        <w:ind w:firstLine="360"/>
      </w:pPr>
      <w:r>
        <w:rPr>
          <w:b/>
        </w:rPr>
        <w:t>7</w:t>
        <w:t xml:space="preserve">.  </w:t>
      </w:r>
      <w:r>
        <w:rPr>
          <w:b/>
        </w:rPr>
        <w:t xml:space="preserve">Avoidance of appearance of conflict of interest.</w:t>
        <w:t xml:space="preserve"> </w:t>
      </w:r>
      <w:r>
        <w:t xml:space="preserve"> </w:t>
      </w:r>
      <w:r>
        <w:t xml:space="preserve">Every executive employee shall endeavor to avoid the appearance of a conflict of interest by disclosure or by abstention.  For the purposes of this subsection and </w:t>
      </w:r>
      <w:r>
        <w:t>subsection 8</w:t>
      </w:r>
      <w:r>
        <w:t xml:space="preserve">, "conflict of interest" includes receiving remuneration, other than reimbursement for reasonable travel expenses, for performing functions that a reasonable person would expect to perform as part  of that person's official responsibility as an executive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§1 (AMD).]</w:t>
      </w:r>
    </w:p>
    <w:p>
      <w:pPr>
        <w:jc w:val="both"/>
        <w:spacing w:before="100" w:after="0"/>
        <w:ind w:start="360"/>
        <w:ind w:firstLine="360"/>
      </w:pPr>
      <w:r>
        <w:rPr>
          <w:b/>
        </w:rPr>
        <w:t>8</w:t>
        <w:t xml:space="preserve">.  </w:t>
      </w:r>
      <w:r>
        <w:rPr>
          <w:b/>
        </w:rPr>
        <w:t xml:space="preserve">Disclosure of conflict of interest.</w:t>
        <w:t xml:space="preserve"> </w:t>
      </w:r>
      <w:r>
        <w:t xml:space="preserve"> </w:t>
      </w:r>
      <w:r>
        <w:t xml:space="preserve">An executive employee shall disclose immediately to that employee's direct supervisor any conflict of interest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1985, c. 779, §7 (AMD). PL 1987, c. 735, §4 (AMD). PL 1987, c. 784, §§1-3 (AMD). PL 1989, c. 443, §5 (AMD). PL 1999, c. 242, §§1-3 (AMD). RR 2001, c. 2, §C1 (COR). RR 2001, c. 2, §C7 (AFF). PL 2001, c. 203, §1 (AMD). PL 2003, c. 20, §OO2 (AMD). PL 2003, c. 20, §OO4 (AFF). PL 2017, c. 179, §1 (AMD). PL 2021, c. 332, §1 (AMD). RR 2023, c. 2, Pt. B, §§4, 5 (COR). </w:t>
      </w:r>
    </w:p>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parent, child, sibling, sibling of a parent or that sibling's spouse, sibling of a grandparent or that sibling's spouse, first cousin, child of a sibling, spouse, grandparent, grandchild, parent-in-law, child-in-law, sibling-in-law, stepparent, stepchild, stepsibling or half sibling, and is deemed to include the betrothed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§6 (COR).]</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 (COR).]</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the executive employee's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 (COR).]</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 (COR).]</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RR 2023, c. 2, Pt. B, §§6, 7 (COR). </w:t>
      </w:r>
    </w:p>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w:t>
      </w:r>
    </w:p>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  (REPEALED)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 STATE OFFICERS AND EMPLOYEES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