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TESTIMONY PROVIDED BY STATE EMPLOYEES TO LEGISLATIVE COMMITTEES</w:t>
      </w:r>
    </w:p>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jc w:val="both"/>
        <w:spacing w:before="100" w:after="100"/>
        <w:ind w:start="1080" w:hanging="720"/>
      </w:pPr>
      <w:r>
        <w:rPr>
          <w:b/>
        </w:rPr>
        <w:t>§</w:t>
        <w:t>23</w:t>
        <w:t xml:space="preserve">.  </w:t>
      </w:r>
      <w:r>
        <w:rPr>
          <w:b/>
        </w:rPr>
        <w:t xml:space="preserve">Discharge of, threats to or discrimination against state employees for testimony presented to legislative committees</w:t>
      </w:r>
    </w:p>
    <w:p>
      <w:pPr>
        <w:jc w:val="both"/>
        <w:spacing w:before="100" w:after="100"/>
        <w:ind w:start="360"/>
        <w:ind w:firstLine="360"/>
      </w:pPr>
      <w:r>
        <w:rPr/>
      </w:r>
      <w:r>
        <w:rPr/>
      </w:r>
      <w:r>
        <w:t xml:space="preserve">A supervisor shall not discharge, threaten or otherwise discriminate against a state employee regarding the employee's compensation, terms, conditions, location or privileges of employment because the employee, in compliance with this chapter, testified before or provides information to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24</w:t>
        <w:t xml:space="preserve">.  </w:t>
      </w:r>
      <w:r>
        <w:rPr>
          <w:b/>
        </w:rPr>
        <w:t xml:space="preserve">Presentation of testimony and information</w:t>
      </w:r>
    </w:p>
    <w:p>
      <w:pPr>
        <w:jc w:val="both"/>
        <w:spacing w:before="100" w:after="100"/>
        <w:ind w:start="360"/>
        <w:ind w:firstLine="360"/>
      </w:pPr>
      <w:r>
        <w:rPr>
          <w:b/>
        </w:rPr>
        <w:t>1</w:t>
        <w:t xml:space="preserve">.  </w:t>
      </w:r>
      <w:r>
        <w:rPr>
          <w:b/>
        </w:rPr>
        <w:t xml:space="preserve">Type of information.</w:t>
        <w:t xml:space="preserve"> </w:t>
      </w:r>
      <w:r>
        <w:t xml:space="preserve"> </w:t>
      </w:r>
      <w:r>
        <w:t xml:space="preserve">This chapter protects any state employee who, in compliance with this chapter, presents testimony or information relating to departments or agencies of State Government and which testimony or information pertains to:</w:t>
      </w:r>
    </w:p>
    <w:p>
      <w:pPr>
        <w:jc w:val="both"/>
        <w:spacing w:before="100" w:after="0"/>
        <w:ind w:start="720"/>
      </w:pPr>
      <w:r>
        <w:rPr/>
        <w:t>A</w:t>
        <w:t xml:space="preserve">.  </w:t>
      </w:r>
      <w:r>
        <w:rPr/>
      </w:r>
      <w:r>
        <w:t xml:space="preserve">Successes, failures or problems of current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Advantages, disadvantages or other relevant information about proposed programs;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C</w:t>
        <w:t xml:space="preserve">.  </w:t>
      </w:r>
      <w:r>
        <w:rPr/>
      </w:r>
      <w:r>
        <w:t xml:space="preserve">The means of improving existing programs and alternatives to existing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26</w:t>
        <w:t xml:space="preserve">.  </w:t>
      </w:r>
      <w:r>
        <w:rPr>
          <w:b/>
        </w:rPr>
        <w:t xml:space="preserve">Nonpartisan legislative staff</w:t>
      </w:r>
    </w:p>
    <w:p>
      <w:pPr>
        <w:jc w:val="both"/>
        <w:spacing w:before="100" w:after="100"/>
        <w:ind w:start="360"/>
        <w:ind w:firstLine="360"/>
      </w:pPr>
      <w:r>
        <w:rPr/>
      </w:r>
      <w:r>
        <w:rPr/>
      </w:r>
      <w:r>
        <w:t xml:space="preserve">Nonpartisan staff of the Legislature shall be subject to the policies and rules of the Legislative Council as these policies and rules relate to testifying or providing information to legislative committees.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27</w:t>
        <w:t xml:space="preserve">.  </w:t>
      </w:r>
      <w:r>
        <w:rPr>
          <w:b/>
        </w:rPr>
        <w:t xml:space="preserve">Representatives of agencies and departments</w:t>
      </w:r>
    </w:p>
    <w:p>
      <w:pPr>
        <w:jc w:val="both"/>
        <w:spacing w:before="100" w:after="0"/>
        <w:ind w:start="360"/>
        <w:ind w:firstLine="360"/>
      </w:pPr>
      <w:r>
        <w:rPr>
          <w:b/>
        </w:rPr>
        <w:t>1</w:t>
        <w:t xml:space="preserve">.  </w:t>
      </w:r>
      <w:r>
        <w:rPr>
          <w:b/>
        </w:rPr>
        <w:t xml:space="preserve">Department testimony and information.</w:t>
        <w:t xml:space="preserve"> </w:t>
      </w:r>
      <w:r>
        <w:t xml:space="preserve"> </w:t>
      </w:r>
      <w:r>
        <w:t xml:space="preserve">Nothing in this chapter may be construed to prohibit a state employee from testifying before or present information to a legislative committee as a representative of a department or agency of State Government and who has been authorized by the commissioner or director of that department or agency to act in this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Misrepresentations of state employees.</w:t>
        <w:t xml:space="preserve"> </w:t>
      </w:r>
      <w:r>
        <w:t xml:space="preserve"> </w:t>
      </w:r>
      <w:r>
        <w:t xml:space="preserve">A state employee who represents oneself as a spokesperson or representative of a department or agency without the authorization of the commissioner or director of that organization is not protected by the provisions of this chapter and is subject to the penalty in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 (COR).]</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§8 (COR). </w:t>
      </w:r>
    </w:p>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that employee's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w:pPr>
        <w:jc w:val="both"/>
        <w:spacing w:before="100" w:after="100"/>
        <w:ind w:start="360"/>
        <w:ind w:firstLine="360"/>
      </w:pPr>
      <w:r>
        <w:rPr/>
      </w:r>
      <w:r>
        <w:rPr/>
      </w:r>
      <w:r>
        <w:t xml:space="preserve">An employee must establish each and every element of the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§9 (COR). </w:t>
      </w:r>
    </w:p>
    <w:p>
      <w:pPr>
        <w:jc w:val="both"/>
        <w:spacing w:before="100" w:after="100"/>
        <w:ind w:start="1080" w:hanging="720"/>
      </w:pPr>
      <w:r>
        <w:rPr>
          <w:b/>
        </w:rPr>
        <w:t>§</w:t>
        <w:t>29</w:t>
        <w:t xml:space="preserve">.  </w:t>
      </w:r>
      <w:r>
        <w:rPr>
          <w:b/>
        </w:rPr>
        <w:t xml:space="preserve">Remedies ordered by court</w:t>
      </w:r>
    </w:p>
    <w:p>
      <w:pPr>
        <w:jc w:val="both"/>
        <w:spacing w:before="100" w:after="100"/>
        <w:ind w:start="360"/>
        <w:ind w:firstLine="360"/>
      </w:pPr>
      <w:r>
        <w:rPr/>
      </w:r>
      <w:r>
        <w:rPr/>
      </w:r>
      <w:r>
        <w:t xml:space="preserve">A court, in rendering a judgment in an action brought pursuant to this chapter, may order reinstatement of this employee, the payment of back wages, full reinstatement of fringe benefits and seniority rights or any combination of these remedies.  A court may also award the prevailing party all or a portion of the costs of litigation, including reasonable attorneys' fees and witness fees, if the court determines that the award is appropriate.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30</w:t>
        <w:t xml:space="preserve">.  </w:t>
      </w:r>
      <w:r>
        <w:rPr>
          <w:b/>
        </w:rPr>
        <w:t xml:space="preserve">Penalties for violations</w:t>
      </w:r>
    </w:p>
    <w:p>
      <w:pPr>
        <w:jc w:val="both"/>
        <w:spacing w:before="100" w:after="100"/>
        <w:ind w:start="360"/>
        <w:ind w:firstLine="360"/>
      </w:pPr>
      <w:r>
        <w:rPr/>
      </w:r>
      <w:r>
        <w:rPr/>
      </w:r>
      <w:r>
        <w:t xml:space="preserve">A person who violates </w:t>
      </w:r>
      <w:r>
        <w:t>sections 22</w:t>
      </w:r>
      <w:r>
        <w:t xml:space="preserve">, </w:t>
      </w:r>
      <w:r>
        <w:t>23</w:t>
      </w:r>
      <w:r>
        <w:t xml:space="preserve"> and </w:t>
      </w:r>
      <w:r>
        <w:t>24</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 TESTIMONY PROVIDED BY STATE EMPLOYEES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