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COMMUNITY-BASED AIDS ORGANIZATIONS</w:t>
      </w:r>
    </w:p>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19254</w:t>
        <w:t xml:space="preserve">.  </w:t>
      </w:r>
      <w:r>
        <w:rPr>
          <w:b/>
        </w:rPr>
        <w:t xml:space="preserve">Rules</w:t>
      </w:r>
    </w:p>
    <w:p>
      <w:pPr>
        <w:jc w:val="both"/>
        <w:spacing w:before="100" w:after="100"/>
        <w:ind w:start="360"/>
        <w:ind w:firstLine="360"/>
      </w:pPr>
      <w:r>
        <w:rPr/>
      </w:r>
      <w:r>
        <w:rPr/>
      </w:r>
      <w:r>
        <w:t xml:space="preserve">The bureau shall adopt rules, pursuant to the Maine Administrative Procedure Act, </w:t>
      </w:r>
      <w:r>
        <w:t>chapter 375</w:t>
      </w:r>
      <w:r>
        <w:t xml:space="preserve">, which are necessary for the implementation of this chapter including, but not limited to, program and administrative standards.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502. COMMUNITY-BASED AIDS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