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Addresses in filings</w:t>
      </w:r>
    </w:p>
    <w:p>
      <w:pPr>
        <w:jc w:val="both"/>
        <w:spacing w:before="100" w:after="100"/>
        <w:ind w:start="360"/>
        <w:ind w:firstLine="360"/>
      </w:pPr>
      <w:r>
        <w:rPr/>
      </w:r>
      <w:r>
        <w:rPr/>
      </w:r>
      <w:r>
        <w:t xml:space="preserve">Whenever a provision of this chapter other than </w:t>
      </w:r>
      <w:r>
        <w:t>section 111, subsection 1, paragraph D</w:t>
      </w:r>
      <w:r>
        <w:t xml:space="preserve"> requires that a filing state an address, the filing must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in this State,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Addresses in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Addresses in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§104. ADDRESSES IN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