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Change of clerk or registered agent by entity</w:t>
      </w:r>
    </w:p>
    <w:p>
      <w:pPr>
        <w:jc w:val="both"/>
        <w:spacing w:before="100" w:after="100"/>
        <w:ind w:start="360"/>
        <w:ind w:firstLine="360"/>
      </w:pPr>
      <w:r>
        <w:rPr>
          <w:b/>
        </w:rPr>
        <w:t>1</w:t>
        <w:t xml:space="preserve">.  </w:t>
      </w:r>
      <w:r>
        <w:rPr>
          <w:b/>
        </w:rPr>
        <w:t xml:space="preserve">Change of information.</w:t>
        <w:t xml:space="preserve"> </w:t>
      </w:r>
      <w:r>
        <w:t xml:space="preserve"> </w:t>
      </w:r>
      <w:r>
        <w:t xml:space="preserve">A represented entity may change the information currently on file under </w:t>
      </w:r>
      <w:r>
        <w:t>section 105, subsection 1</w:t>
      </w:r>
      <w:r>
        <w:t xml:space="preserve"> by filing with the Secretary of State a statement of change signed on behalf of the entity that states:</w:t>
      </w:r>
    </w:p>
    <w:p>
      <w:pPr>
        <w:jc w:val="both"/>
        <w:spacing w:before="100" w:after="0"/>
        <w:ind w:start="720"/>
      </w:pPr>
      <w:r>
        <w:rPr/>
        <w:t>A</w:t>
        <w:t xml:space="preserve">.  </w:t>
      </w:r>
      <w:r>
        <w:rPr/>
      </w:r>
      <w:r>
        <w:t xml:space="preserve">The name of the entity;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information that is to be in effect as a result of the filing of the statement of change.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w:t>
        <w:t xml:space="preserve">.  </w:t>
      </w:r>
      <w:r>
        <w:rPr>
          <w:b/>
        </w:rPr>
        <w:t xml:space="preserve">Approval not needed.</w:t>
        <w:t xml:space="preserve"> </w:t>
      </w:r>
      <w:r>
        <w:t xml:space="preserve"> </w:t>
      </w:r>
      <w:r>
        <w:t xml:space="preserve">Except for a corporation formed under </w:t>
      </w:r>
      <w:r>
        <w:t>Title 13‑C</w:t>
      </w:r>
      <w:r>
        <w:t xml:space="preserve">, the interest holders or governors of a domestic entity need not approve the filing of:</w:t>
      </w:r>
    </w:p>
    <w:p>
      <w:pPr>
        <w:jc w:val="both"/>
        <w:spacing w:before="100" w:after="0"/>
        <w:ind w:start="720"/>
      </w:pPr>
      <w:r>
        <w:rPr/>
        <w:t>A</w:t>
        <w:t xml:space="preserve">.  </w:t>
      </w:r>
      <w:r>
        <w:rPr/>
      </w:r>
      <w:r>
        <w:t xml:space="preserve">A statement of change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similar filing changing the clerk or registered agent or registered office of the entity in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 (AMD).]</w:t>
      </w:r>
    </w:p>
    <w:p>
      <w:pPr>
        <w:jc w:val="both"/>
        <w:spacing w:before="100" w:after="0"/>
        <w:ind w:start="360"/>
        <w:ind w:firstLine="360"/>
      </w:pPr>
      <w:r>
        <w:rPr>
          <w:b/>
        </w:rPr>
        <w:t>3</w:t>
        <w:t xml:space="preserve">.  </w:t>
      </w:r>
      <w:r>
        <w:rPr>
          <w:b/>
        </w:rPr>
        <w:t xml:space="preserve">Consent.</w:t>
        <w:t xml:space="preserve"> </w:t>
      </w:r>
      <w:r>
        <w:t xml:space="preserve"> </w:t>
      </w:r>
      <w:r>
        <w:t xml:space="preserve">The appointment of a clerk or a registered agent pursuant to </w:t>
      </w:r>
      <w:r>
        <w:t>section 105, subsection 1</w:t>
      </w:r>
      <w:r>
        <w:t xml:space="preserve"> is an affirmation by the represented entity that the clerk or agent has consented to serve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Effective on filing.</w:t>
        <w:t xml:space="preserve"> </w:t>
      </w:r>
      <w:r>
        <w:t xml:space="preserve"> </w:t>
      </w:r>
      <w:r>
        <w:t xml:space="preserve">A statement of change filed under this section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Amended filing.</w:t>
        <w:t xml:space="preserve"> </w:t>
      </w:r>
      <w:r>
        <w:t xml:space="preserve"> </w:t>
      </w:r>
      <w:r>
        <w:t xml:space="preserve">As an alternative to using the procedures in this section, a represented entity may change the information currently on file under </w:t>
      </w:r>
      <w:r>
        <w:t>section 105, subsection 1</w:t>
      </w:r>
      <w:r>
        <w:t xml:space="preserve"> by amending its most recent clerk or registered agent filing in the manner provided by the laws of this State other than this chapter for amending that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2009, c. 56,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Change of clerk or registered agent by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Change of clerk or registered agent by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§108. CHANGE OF CLERK OR REGISTERED AGENT BY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