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Change of name, address or type of organization by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commercial clerk or commercial registered agent changes its name, its address as currently listed under </w:t>
      </w:r>
      <w:r>
        <w:t>section 106, subsection 1</w:t>
      </w:r>
      <w:r>
        <w:t xml:space="preserve"> or its type or jurisdiction of organization, the agent shall file with the Secretary of State a statement of change signed by or on behalf of the agent that states:</w:t>
      </w:r>
    </w:p>
    <w:p>
      <w:pPr>
        <w:jc w:val="both"/>
        <w:spacing w:before="100" w:after="0"/>
        <w:ind w:start="720"/>
      </w:pPr>
      <w:r>
        <w:rPr/>
        <w:t>A</w:t>
        <w:t xml:space="preserve">.  </w:t>
      </w:r>
      <w:r>
        <w:rPr/>
      </w:r>
      <w:r>
        <w:t xml:space="preserve">The name of the agent as currently listed under </w:t>
      </w:r>
      <w:r>
        <w:t>section 106,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name of the agent has changed, its new name;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address of the agent has changed, the new address;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type or jurisdiction of organization of the agent has changed, the new type or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 of filing.</w:t>
        <w:t xml:space="preserve"> </w:t>
      </w:r>
      <w:r>
        <w:t xml:space="preserve"> </w:t>
      </w:r>
      <w:r>
        <w:t xml:space="preserve">The filing of a statement of change under </w:t>
      </w:r>
      <w:r>
        <w:t>subsection 1</w:t>
      </w:r>
      <w:r>
        <w:t xml:space="preserve"> is effective to change the information regarding the commercial clerk or commercial registered agent with respect to each entity represented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Notice.</w:t>
        <w:t xml:space="preserve"> </w:t>
      </w:r>
      <w:r>
        <w:t xml:space="preserve"> </w:t>
      </w:r>
      <w:r>
        <w:t xml:space="preserve">A commercial clerk or commercial registered agent shall promptly furnish each entity represented by it with notice in a record of the filing of a statement of change relating to the name or address of the agent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5</w:t>
        <w:t xml:space="preserve">.  </w:t>
      </w:r>
      <w:r>
        <w:rPr>
          <w:b/>
        </w:rPr>
        <w:t xml:space="preserve">Cancellation.</w:t>
        <w:t xml:space="preserve"> </w:t>
      </w:r>
      <w:r>
        <w:t xml:space="preserve"> </w:t>
      </w:r>
      <w:r>
        <w:t xml:space="preserve">If a commercial clerk or commercial registered agent changes its address without filing a statement of change as required by this section, the Secretary of State may cancel the listing of the agent under </w:t>
      </w:r>
      <w:r>
        <w:t>section 106</w:t>
      </w:r>
      <w:r>
        <w:t xml:space="preserve">.  A cancellation under this subsection has the same effect as a termination under </w:t>
      </w:r>
      <w:r>
        <w:t>section 107</w:t>
      </w:r>
      <w:r>
        <w:t xml:space="preserve">.  Promptly after canceling the listing of an agent, the Secretary of State shall serve notice in a record in the manner provided in </w:t>
      </w:r>
      <w:r>
        <w:t>section 113, subsection 2</w:t>
      </w:r>
      <w:r>
        <w:t xml:space="preserve"> or </w:t>
      </w:r>
      <w:r>
        <w:t>3</w:t>
      </w:r>
      <w:r>
        <w:t xml:space="preserve"> on:</w:t>
      </w:r>
    </w:p>
    <w:p>
      <w:pPr>
        <w:jc w:val="both"/>
        <w:spacing w:before="100" w:after="0"/>
        <w:ind w:start="720"/>
      </w:pPr>
      <w:r>
        <w:rPr/>
        <w:t>A</w:t>
        <w:t xml:space="preserve">.  </w:t>
      </w:r>
      <w:r>
        <w:rPr/>
      </w:r>
      <w:r>
        <w:t xml:space="preserve">Each entity represented by the agent, stating that the agent has ceased to be an agent for service of process on the entity and that, until the entity appoints a new clerk or registered agent, service of process may be made on the entity as provided in </w:t>
      </w:r>
      <w:r>
        <w:t>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agent, stating that the listing of the agent has been canceled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Change of name, address or type of organization by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 CHANGE OF NAME, ADDRESS OR TYPE OF ORGANIZATION BY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