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Mandatory training</w:t>
      </w:r>
    </w:p>
    <w:p>
      <w:pPr>
        <w:jc w:val="both"/>
        <w:spacing w:before="100" w:after="100"/>
        <w:ind w:start="360"/>
        <w:ind w:firstLine="360"/>
      </w:pPr>
      <w:r>
        <w:rPr/>
      </w:r>
      <w:r>
        <w:rPr/>
      </w:r>
      <w:r>
        <w:t xml:space="preserve">An agency shall ensure that the tribal liaison designated pursuant to </w:t>
      </w:r>
      <w:r>
        <w:t>section 11053, subsection 3</w:t>
      </w:r>
      <w:r>
        <w:t xml:space="preserve">, other employees responsible for tribal collaboration under this Act and other employees whose work substantially and uniquely affects Indian tribes or tribal members receive training designed to promote: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360"/>
        <w:ind w:firstLine="360"/>
      </w:pPr>
      <w:r>
        <w:rPr>
          <w:b/>
        </w:rPr>
        <w:t>1</w:t>
        <w:t xml:space="preserve">.  </w:t>
      </w:r>
      <w:r>
        <w:rPr>
          <w:b/>
        </w:rPr>
        <w:t xml:space="preserve">Communication and collaboration.</w:t>
        <w:t xml:space="preserve"> </w:t>
      </w:r>
      <w:r>
        <w:t xml:space="preserve"> </w:t>
      </w:r>
      <w:r>
        <w:t xml:space="preserve">Effective communication and collaboration between the agency and the Indian tribes;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Government-to-government relations.</w:t>
        <w:t xml:space="preserve"> </w:t>
      </w:r>
      <w:r>
        <w:t xml:space="preserve"> </w:t>
      </w:r>
      <w:r>
        <w:t xml:space="preserve">Positive government-to-government relations between the State and Indian tribes;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Cultural competency.</w:t>
        <w:t xml:space="preserve"> </w:t>
      </w:r>
      <w:r>
        <w:t xml:space="preserve"> </w:t>
      </w:r>
      <w:r>
        <w:t xml:space="preserve">Cultural competency in tribal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§11054. Mandatory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Mandatory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§11054. MANDATORY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