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§13056-G. MAINE COWORKING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