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13073-C</w:t>
        <w:t xml:space="preserve">.  </w:t>
      </w:r>
      <w:r>
        <w:rPr>
          <w:b/>
        </w:rPr>
        <w:t xml:space="preserve">Municipal Grant Fund</w:t>
      </w:r>
    </w:p>
    <w:p>
      <w:pPr>
        <w:jc w:val="both"/>
        <w:spacing w:before="100" w:after="100"/>
        <w:ind w:start="360"/>
        <w:ind w:firstLine="360"/>
      </w:pPr>
      <w:r>
        <w:rPr/>
      </w:r>
      <w:r>
        <w:rPr/>
      </w:r>
      <w:r>
        <w:t xml:space="preserve">The Municipal Grant Fund is established as a nonlapsing fund within the Office of Community Development.  The Director of the Office of Community Development shall administer the Municipal Grant Fund, referred to in this section as "the fund." The fund may receive appropriations, allocations, grants or gifts from any federal agency or governmental subdivision or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2021, c. 319, §1 (NEW).]</w:t>
      </w:r>
    </w:p>
    <w:p>
      <w:pPr>
        <w:jc w:val="both"/>
        <w:spacing w:before="100" w:after="0"/>
        <w:ind w:start="360"/>
        <w:ind w:firstLine="360"/>
      </w:pPr>
      <w:r>
        <w:rPr>
          <w:b/>
        </w:rPr>
        <w:t>1</w:t>
        <w:t xml:space="preserve">.  </w:t>
      </w:r>
      <w:r>
        <w:rPr>
          <w:b/>
        </w:rPr>
        <w:t xml:space="preserve">Fund purpose.</w:t>
        <w:t xml:space="preserve"> </w:t>
      </w:r>
      <w:r>
        <w:t xml:space="preserve"> </w:t>
      </w:r>
      <w:r>
        <w:t xml:space="preserve">The purpose of the fund is to provide funding for municipalities for projects that further the goals of sustainable economic development as outlined by the Maine Economic Growth Council, established in </w:t>
      </w:r>
      <w:r>
        <w:t>Title 10, section 929‑A</w:t>
      </w:r>
      <w:r>
        <w:t xml:space="preserve"> and referred to in this section as "the council," in the council's annual "Measures of Growth" report, or successor report, and by the "Maine Economic Development Strategy 2020-2029," or successor economic development strategy for the State, as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2</w:t>
        <w:t xml:space="preserve">.  </w:t>
      </w:r>
      <w:r>
        <w:rPr>
          <w:b/>
        </w:rPr>
        <w:t xml:space="preserve">Application process.</w:t>
        <w:t xml:space="preserve"> </w:t>
      </w:r>
      <w:r>
        <w:t xml:space="preserve"> </w:t>
      </w:r>
      <w:r>
        <w:t xml:space="preserve">The department shall adopt rules establishing an application process for municipalities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3</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§7 (AMD).]</w:t>
      </w:r>
    </w:p>
    <w:p>
      <w:pPr>
        <w:jc w:val="both"/>
        <w:spacing w:before="100" w:after="0"/>
        <w:ind w:start="360"/>
        <w:ind w:firstLine="360"/>
      </w:pPr>
      <w:r>
        <w:rPr>
          <w:b/>
        </w:rPr>
        <w:t>4</w:t>
        <w:t xml:space="preserve">.  </w:t>
      </w:r>
      <w:r>
        <w:rPr>
          <w:b/>
        </w:rPr>
        <w:t xml:space="preserve">Maximum award.</w:t>
        <w:t xml:space="preserve"> </w:t>
      </w:r>
      <w:r>
        <w:t xml:space="preserve"> </w:t>
      </w:r>
      <w:r>
        <w:t xml:space="preserve">A grantee may not be awarded a total amount in excess of $50,000 in a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 PL 2021, c. 676,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§13073-C. Municipal Grant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§13073-C. Municipal Grant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§13073-C. MUNICIPAL GRANT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